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A0A" w:rsidRPr="000D7A0A" w:rsidRDefault="000D7A0A" w:rsidP="000D7A0A">
      <w:pPr>
        <w:ind w:left="-5"/>
      </w:pPr>
      <w:r w:rsidRPr="000D7A0A">
        <w:t>OBAVIJEST O STJECANJU ILI POVEĆANJU KVALIFICIRANOG UDJELA U SREDNJEM ILI MALOM UAIF-u</w:t>
      </w:r>
    </w:p>
    <w:p w:rsidR="000D7A0A" w:rsidRDefault="000D7A0A" w:rsidP="000D7A0A">
      <w:pPr>
        <w:ind w:left="-5"/>
        <w:rPr>
          <w:color w:val="231F20"/>
        </w:rPr>
      </w:pPr>
    </w:p>
    <w:p w:rsidR="000D7A0A" w:rsidRDefault="000D7A0A" w:rsidP="000D7A0A">
      <w:pPr>
        <w:ind w:left="-5"/>
      </w:pPr>
      <w:r>
        <w:rPr>
          <w:color w:val="231F20"/>
        </w:rPr>
        <w:t xml:space="preserve">Fizička osoba </w:t>
      </w:r>
    </w:p>
    <w:p w:rsidR="00454C35" w:rsidRPr="000D7A0A" w:rsidRDefault="00454C35" w:rsidP="000D7A0A">
      <w:pPr>
        <w:spacing w:after="0" w:line="259" w:lineRule="auto"/>
        <w:ind w:left="0" w:firstLine="0"/>
        <w:rPr>
          <w:sz w:val="16"/>
          <w:szCs w:val="16"/>
        </w:rPr>
      </w:pPr>
    </w:p>
    <w:p w:rsidR="000D7A0A" w:rsidRDefault="000D7A0A" w:rsidP="000D7A0A">
      <w:pPr>
        <w:ind w:left="-5"/>
        <w:rPr>
          <w:color w:val="231F20"/>
        </w:rPr>
      </w:pPr>
      <w:r w:rsidRPr="000D7A0A">
        <w:rPr>
          <w:color w:val="231F20"/>
        </w:rPr>
        <w:t xml:space="preserve">Za stjecanje </w:t>
      </w:r>
      <w:r>
        <w:rPr>
          <w:color w:val="231F20"/>
        </w:rPr>
        <w:t>fizičku</w:t>
      </w:r>
      <w:r w:rsidRPr="000D7A0A">
        <w:rPr>
          <w:color w:val="231F20"/>
        </w:rPr>
        <w:t xml:space="preserve"> osobu, UAIF je uz Obavijest o stjecanju ili povećanju kvalificiranog udjela u srednjem ili malom UAIF-u dužan priložiti:</w:t>
      </w:r>
    </w:p>
    <w:p w:rsidR="000D7A0A" w:rsidRPr="000D7A0A" w:rsidRDefault="000D7A0A" w:rsidP="000D7A0A">
      <w:pPr>
        <w:ind w:left="-5"/>
        <w:rPr>
          <w:color w:val="231F20"/>
          <w:sz w:val="16"/>
          <w:szCs w:val="16"/>
        </w:rPr>
      </w:pPr>
    </w:p>
    <w:p w:rsidR="000D7A0A" w:rsidRDefault="000D7A0A" w:rsidP="000D7A0A">
      <w:pPr>
        <w:pStyle w:val="box466143"/>
        <w:spacing w:before="0" w:beforeAutospacing="0"/>
      </w:pPr>
      <w:r>
        <w:rPr>
          <w:rStyle w:val="defaultparagraphfont-000009"/>
        </w:rPr>
        <w:t>1. presliku osobne iskaznice ili putovnice, odnosno za stranog državljanina presliku osobne iskaznice ili putne isprave</w:t>
      </w:r>
      <w:r>
        <w:t xml:space="preserve"> </w:t>
      </w:r>
    </w:p>
    <w:p w:rsidR="00454C35" w:rsidRPr="00C30A39" w:rsidRDefault="00454C35" w:rsidP="000D7A0A">
      <w:pPr>
        <w:pStyle w:val="box466143"/>
        <w:spacing w:before="0" w:beforeAutospacing="0"/>
        <w:rPr>
          <w:sz w:val="10"/>
          <w:szCs w:val="10"/>
        </w:rPr>
      </w:pPr>
    </w:p>
    <w:p w:rsidR="000D7A0A" w:rsidRDefault="000D7A0A" w:rsidP="000D7A0A">
      <w:pPr>
        <w:pStyle w:val="box466143"/>
        <w:spacing w:before="0" w:beforeAutospacing="0"/>
        <w:rPr>
          <w:rStyle w:val="defaultparagraphfont-000009"/>
        </w:rPr>
      </w:pPr>
      <w:r>
        <w:rPr>
          <w:rStyle w:val="defaultparagraphfont-000009"/>
        </w:rPr>
        <w:t xml:space="preserve">2. životopis namjeravanog stjecatelja </w:t>
      </w:r>
    </w:p>
    <w:p w:rsidR="00454C35" w:rsidRPr="00454C35" w:rsidRDefault="00454C35" w:rsidP="000D7A0A">
      <w:pPr>
        <w:pStyle w:val="box466143"/>
        <w:spacing w:before="0" w:beforeAutospacing="0"/>
        <w:rPr>
          <w:sz w:val="16"/>
          <w:szCs w:val="16"/>
        </w:rPr>
      </w:pPr>
    </w:p>
    <w:p w:rsidR="000D7A0A" w:rsidRDefault="000D7A0A" w:rsidP="000D7A0A">
      <w:pPr>
        <w:pStyle w:val="box466143"/>
        <w:spacing w:before="0" w:beforeAutospacing="0"/>
      </w:pPr>
      <w:r>
        <w:rPr>
          <w:rStyle w:val="defaultparagraphfont-000009"/>
        </w:rPr>
        <w:t>3. ispunjeni Upitnik iz Priloga 1. Pravilnika</w:t>
      </w:r>
      <w:r w:rsidR="00A12FD3">
        <w:rPr>
          <w:rStyle w:val="defaultparagraphfont-000009"/>
        </w:rPr>
        <w:t xml:space="preserve"> </w:t>
      </w:r>
      <w:r w:rsidR="00A12FD3" w:rsidRPr="00A12FD3">
        <w:rPr>
          <w:color w:val="231F20"/>
        </w:rPr>
        <w:t>o stjecanju i povećanju kvalificiranog udjela u malom i srednjem UAIF-u (dalje: Pravilnik)</w:t>
      </w:r>
      <w:r>
        <w:rPr>
          <w:rStyle w:val="defaultparagraphfont-000009"/>
        </w:rPr>
        <w:t xml:space="preserve">, s potpisom namjeravanog stjecatelja, ovjerenim od javnog bilježnika, ne stariji od mjesec dana od dana kada je </w:t>
      </w:r>
      <w:proofErr w:type="spellStart"/>
      <w:r>
        <w:rPr>
          <w:rStyle w:val="defaultparagraphfont-000009"/>
        </w:rPr>
        <w:t>Hanfa</w:t>
      </w:r>
      <w:proofErr w:type="spellEnd"/>
      <w:r>
        <w:rPr>
          <w:rStyle w:val="defaultparagraphfont-000009"/>
        </w:rPr>
        <w:t xml:space="preserve"> zaprimila obavijest o stjecanju ili povećanju kvalificiranog udjela</w:t>
      </w:r>
      <w:r>
        <w:t xml:space="preserve"> </w:t>
      </w:r>
    </w:p>
    <w:p w:rsidR="00454C35" w:rsidRPr="00454C35" w:rsidRDefault="00454C35" w:rsidP="000D7A0A">
      <w:pPr>
        <w:pStyle w:val="box466143"/>
        <w:spacing w:before="0" w:beforeAutospacing="0"/>
        <w:rPr>
          <w:sz w:val="16"/>
          <w:szCs w:val="16"/>
        </w:rPr>
      </w:pPr>
    </w:p>
    <w:p w:rsidR="000D7A0A" w:rsidRDefault="000D7A0A" w:rsidP="000D7A0A">
      <w:pPr>
        <w:pStyle w:val="box466143"/>
        <w:spacing w:before="0" w:beforeAutospacing="0"/>
        <w:rPr>
          <w:rStyle w:val="defaultparagraphfont-000009"/>
        </w:rPr>
      </w:pPr>
      <w:r>
        <w:rPr>
          <w:rStyle w:val="defaultparagraphfont-000009"/>
        </w:rPr>
        <w:t xml:space="preserve">4. uvjerenje o </w:t>
      </w:r>
      <w:proofErr w:type="spellStart"/>
      <w:r>
        <w:rPr>
          <w:rStyle w:val="defaultparagraphfont-000009"/>
        </w:rPr>
        <w:t>nevođenju</w:t>
      </w:r>
      <w:proofErr w:type="spellEnd"/>
      <w:r>
        <w:rPr>
          <w:rStyle w:val="defaultparagraphfont-000009"/>
        </w:rPr>
        <w:t xml:space="preserve"> kaznenog postupka (ne starije od 3 mjeseca), odnosno za stranog državljanina analogno uvjerenje nadležnog tijela zemlje čiji je državljanin (ne starije od 3 mjeseca)</w:t>
      </w:r>
    </w:p>
    <w:p w:rsidR="00454C35" w:rsidRPr="00454C35" w:rsidRDefault="00454C35" w:rsidP="000D7A0A">
      <w:pPr>
        <w:pStyle w:val="box466143"/>
        <w:spacing w:before="0" w:beforeAutospacing="0"/>
        <w:rPr>
          <w:sz w:val="16"/>
          <w:szCs w:val="16"/>
        </w:rPr>
      </w:pPr>
    </w:p>
    <w:p w:rsidR="000D7A0A" w:rsidRDefault="000D7A0A" w:rsidP="000D7A0A">
      <w:pPr>
        <w:pStyle w:val="box466143"/>
        <w:spacing w:before="0" w:beforeAutospacing="0"/>
      </w:pPr>
      <w:r>
        <w:rPr>
          <w:rStyle w:val="defaultparagraphfont-000009"/>
        </w:rPr>
        <w:t>5. popis osoba koje su, u smislu članka 4. točke 25. Zakona u odnosu uske povezanosti s namjeravanim stjecateljem, te opis načina povezanosti</w:t>
      </w:r>
      <w:r>
        <w:t xml:space="preserve"> </w:t>
      </w:r>
    </w:p>
    <w:p w:rsidR="00454C35" w:rsidRPr="00454C35" w:rsidRDefault="00454C35" w:rsidP="000D7A0A">
      <w:pPr>
        <w:pStyle w:val="box466143"/>
        <w:spacing w:before="0" w:beforeAutospacing="0"/>
        <w:rPr>
          <w:sz w:val="16"/>
          <w:szCs w:val="16"/>
        </w:rPr>
      </w:pPr>
    </w:p>
    <w:p w:rsidR="000D7A0A" w:rsidRDefault="000D7A0A" w:rsidP="000D7A0A">
      <w:pPr>
        <w:pStyle w:val="box466143"/>
        <w:spacing w:before="0" w:beforeAutospacing="0"/>
        <w:rPr>
          <w:rStyle w:val="defaultparagraphfont-000009"/>
        </w:rPr>
      </w:pPr>
      <w:r>
        <w:rPr>
          <w:rStyle w:val="defaultparagraphfont-000009"/>
        </w:rPr>
        <w:t>6. kada je to primjenjivo, mišljenje ili suglasnost nadležnog tijela iz države članice ili treće države o namjeravanom stjecanju</w:t>
      </w:r>
    </w:p>
    <w:p w:rsidR="00454C35" w:rsidRPr="00454C35" w:rsidRDefault="00454C35" w:rsidP="000D7A0A">
      <w:pPr>
        <w:pStyle w:val="box466143"/>
        <w:spacing w:before="0" w:beforeAutospacing="0"/>
        <w:rPr>
          <w:sz w:val="16"/>
          <w:szCs w:val="16"/>
        </w:rPr>
      </w:pPr>
    </w:p>
    <w:p w:rsidR="000D7A0A" w:rsidRDefault="000D7A0A" w:rsidP="000D7A0A">
      <w:pPr>
        <w:pStyle w:val="box466143"/>
        <w:spacing w:before="0" w:beforeAutospacing="0"/>
      </w:pPr>
      <w:r>
        <w:rPr>
          <w:rStyle w:val="defaultparagraphfont-000009"/>
        </w:rPr>
        <w:t>7. dokaz o osiguranim sredstvima za stjecanje kvalificiranog udjela te opis načina odnosno izvor financiranja te dokumente koji potvrđuju pravni status i porijeklo financijskih sredstava namjeravanog stjecatelja za stjecanje kvalificiranog udjela u UAIF-u i održavanje bonitetnog funkcioniranja UAIF-a kada je primjenjivo</w:t>
      </w:r>
      <w:r>
        <w:t xml:space="preserve"> </w:t>
      </w:r>
    </w:p>
    <w:p w:rsidR="00454C35" w:rsidRPr="00454C35" w:rsidRDefault="00454C35" w:rsidP="000D7A0A">
      <w:pPr>
        <w:pStyle w:val="box466143"/>
        <w:spacing w:before="0" w:beforeAutospacing="0"/>
        <w:rPr>
          <w:sz w:val="16"/>
          <w:szCs w:val="16"/>
        </w:rPr>
      </w:pPr>
    </w:p>
    <w:p w:rsidR="000D7A0A" w:rsidRDefault="000D7A0A" w:rsidP="000D7A0A">
      <w:pPr>
        <w:pStyle w:val="box466143"/>
        <w:spacing w:before="0" w:beforeAutospacing="0"/>
      </w:pPr>
      <w:r>
        <w:rPr>
          <w:rStyle w:val="defaultparagraphfont-000009"/>
        </w:rPr>
        <w:t>8. popis suradnika stjecatelja kvalificiranog udjela koji sadrži podatke o imenu i prezimenu, OIB, rođenom prezimenu, spolu, državljanstvu, imenu i prezimenu oca i majke, datumu rođenja, mjestu i državi rođenja, adresi prebivališta, a za suradnike strane državljane dostavlja se i dokaz da nisu pravomoćno osuđeni za kaznena djela za koja se goni po službenoj dužnosti (kada nadležno tijelo izdaje uvjerenje iz ove točke, dostavlja se uvjerenje koje nije starije od tri mjeseca od slanja obavijesti, a u suprotnom se dostavlja izjava iz Priloga 2.  Pravilnika ovjerena od javnog bilježnika, o ispunjavanju uvjeta iz ove točke, ne starija od mjesec dana od dana slanja obavijesti)</w:t>
      </w:r>
      <w:r>
        <w:t xml:space="preserve"> </w:t>
      </w:r>
    </w:p>
    <w:p w:rsidR="00454C35" w:rsidRPr="00454C35" w:rsidRDefault="00454C35" w:rsidP="000D7A0A">
      <w:pPr>
        <w:pStyle w:val="box466143"/>
        <w:spacing w:before="0" w:beforeAutospacing="0"/>
        <w:rPr>
          <w:sz w:val="16"/>
          <w:szCs w:val="16"/>
        </w:rPr>
      </w:pPr>
    </w:p>
    <w:p w:rsidR="000D7A0A" w:rsidRDefault="000D7A0A" w:rsidP="000D7A0A">
      <w:pPr>
        <w:pStyle w:val="box466143"/>
        <w:spacing w:before="0" w:beforeAutospacing="0"/>
      </w:pPr>
      <w:r>
        <w:rPr>
          <w:rStyle w:val="defaultparagraphfont-000009"/>
        </w:rPr>
        <w:t>9. informacije hoće li doći do promjene osoba koje će nakon stjecanja/povećanja kvalificiranog udjela voditi poslove ili nadzirati vođenje poslova UAIF-a, te ukoliko će doći do promjena navesti u kojem roku će doći do promjena</w:t>
      </w:r>
      <w:r>
        <w:t xml:space="preserve"> </w:t>
      </w:r>
    </w:p>
    <w:p w:rsidR="00454C35" w:rsidRPr="00C30A39" w:rsidRDefault="00454C35" w:rsidP="000D7A0A">
      <w:pPr>
        <w:pStyle w:val="box466143"/>
        <w:spacing w:before="0" w:beforeAutospacing="0"/>
        <w:rPr>
          <w:sz w:val="10"/>
          <w:szCs w:val="10"/>
        </w:rPr>
      </w:pPr>
    </w:p>
    <w:p w:rsidR="000D7A0A" w:rsidRDefault="000D7A0A" w:rsidP="000D7A0A">
      <w:pPr>
        <w:pStyle w:val="box466143"/>
        <w:spacing w:before="0" w:beforeAutospacing="0"/>
      </w:pPr>
      <w:r>
        <w:rPr>
          <w:rStyle w:val="defaultparagraphfont-000009"/>
        </w:rPr>
        <w:t xml:space="preserve">10. drugu dokumentaciju na zahtjev </w:t>
      </w:r>
      <w:proofErr w:type="spellStart"/>
      <w:r>
        <w:rPr>
          <w:rStyle w:val="defaultparagraphfont-000009"/>
        </w:rPr>
        <w:t>Hanfe</w:t>
      </w:r>
      <w:proofErr w:type="spellEnd"/>
      <w:r>
        <w:rPr>
          <w:rStyle w:val="defaultparagraphfont-000009"/>
        </w:rPr>
        <w:t xml:space="preserve"> u slučaju potrebe ovisno o konkretnoj obavijesti.</w:t>
      </w:r>
      <w:r>
        <w:t xml:space="preserve"> </w:t>
      </w:r>
    </w:p>
    <w:p w:rsidR="00C30A39" w:rsidRDefault="00C30A39" w:rsidP="000D7A0A">
      <w:pPr>
        <w:pStyle w:val="box466143"/>
        <w:spacing w:before="0" w:beforeAutospacing="0"/>
      </w:pPr>
      <w:bookmarkStart w:id="0" w:name="_GoBack"/>
      <w:bookmarkEnd w:id="0"/>
    </w:p>
    <w:p w:rsidR="000D7A0A" w:rsidRPr="000D7A0A" w:rsidRDefault="000D7A0A" w:rsidP="000D7A0A">
      <w:pPr>
        <w:pBdr>
          <w:top w:val="single" w:sz="4" w:space="1" w:color="auto"/>
          <w:left w:val="single" w:sz="4" w:space="9" w:color="auto"/>
          <w:bottom w:val="single" w:sz="4" w:space="1" w:color="auto"/>
          <w:right w:val="single" w:sz="4" w:space="4" w:color="auto"/>
        </w:pBdr>
        <w:spacing w:line="264" w:lineRule="auto"/>
        <w:rPr>
          <w:rFonts w:eastAsia="Times New Roman"/>
          <w:b/>
          <w:color w:val="auto"/>
        </w:rPr>
      </w:pPr>
      <w:r w:rsidRPr="000D7A0A">
        <w:rPr>
          <w:rFonts w:eastAsia="Times New Roman"/>
          <w:b/>
        </w:rPr>
        <w:t xml:space="preserve">Napomene: </w:t>
      </w:r>
    </w:p>
    <w:p w:rsidR="000D7A0A" w:rsidRPr="000D7A0A" w:rsidRDefault="000D7A0A" w:rsidP="000D7A0A">
      <w:pPr>
        <w:numPr>
          <w:ilvl w:val="0"/>
          <w:numId w:val="2"/>
        </w:numPr>
        <w:pBdr>
          <w:top w:val="single" w:sz="4" w:space="1" w:color="auto"/>
          <w:left w:val="single" w:sz="4" w:space="4" w:color="auto"/>
          <w:bottom w:val="single" w:sz="4" w:space="1" w:color="auto"/>
          <w:right w:val="single" w:sz="4" w:space="4" w:color="auto"/>
        </w:pBdr>
        <w:spacing w:after="0" w:line="264" w:lineRule="auto"/>
        <w:ind w:left="284"/>
        <w:contextualSpacing/>
        <w:rPr>
          <w:rFonts w:eastAsia="Times New Roman"/>
          <w:color w:val="auto"/>
        </w:rPr>
      </w:pPr>
      <w:r w:rsidRPr="000D7A0A">
        <w:rPr>
          <w:rFonts w:eastAsiaTheme="minorHAnsi"/>
          <w:noProof/>
          <w:color w:val="231F20"/>
        </w:rPr>
        <w:t>Dokumentacija propisana Pravilnikom dostavlja se u izvorniku ili ovjerenoj preslici.</w:t>
      </w:r>
      <w:r w:rsidRPr="000D7A0A">
        <w:rPr>
          <w:rFonts w:eastAsia="Times New Roman"/>
          <w:color w:val="auto"/>
        </w:rPr>
        <w:t xml:space="preserve"> </w:t>
      </w:r>
    </w:p>
    <w:p w:rsidR="000D7A0A" w:rsidRPr="000D7A0A" w:rsidRDefault="000D7A0A" w:rsidP="000D7A0A">
      <w:pPr>
        <w:numPr>
          <w:ilvl w:val="0"/>
          <w:numId w:val="2"/>
        </w:numPr>
        <w:pBdr>
          <w:top w:val="single" w:sz="4" w:space="1" w:color="auto"/>
          <w:left w:val="single" w:sz="4" w:space="4" w:color="auto"/>
          <w:bottom w:val="single" w:sz="4" w:space="1" w:color="auto"/>
          <w:right w:val="single" w:sz="4" w:space="4" w:color="auto"/>
        </w:pBdr>
        <w:spacing w:before="120" w:after="0" w:line="264" w:lineRule="auto"/>
        <w:ind w:left="284"/>
        <w:contextualSpacing/>
        <w:rPr>
          <w:rFonts w:eastAsia="Times New Roman"/>
          <w:color w:val="auto"/>
        </w:rPr>
      </w:pPr>
      <w:r w:rsidRPr="000D7A0A">
        <w:rPr>
          <w:rFonts w:eastAsia="Times New Roman"/>
          <w:color w:val="auto"/>
        </w:rPr>
        <w:t xml:space="preserve">Strane </w:t>
      </w:r>
      <w:r w:rsidRPr="000D7A0A">
        <w:rPr>
          <w:rFonts w:eastAsia="Times New Roman"/>
          <w:noProof/>
          <w:color w:val="auto"/>
        </w:rPr>
        <w:t>isprave dostavljaju se prevedene na hrvatski jezik od strane ovlaštenog sudskog tumača, a strane isprave pod točkom</w:t>
      </w:r>
      <w:r w:rsidR="00A12FD3">
        <w:rPr>
          <w:rFonts w:eastAsia="Times New Roman"/>
          <w:noProof/>
          <w:color w:val="auto"/>
        </w:rPr>
        <w:t xml:space="preserve"> 4. i </w:t>
      </w:r>
      <w:r w:rsidRPr="000D7A0A">
        <w:rPr>
          <w:rFonts w:eastAsia="Times New Roman"/>
          <w:noProof/>
          <w:color w:val="auto"/>
        </w:rPr>
        <w:t xml:space="preserve">6. dostavljaju se i ovjerene u skladu sa zakonom i međunarodnim propisima odnosno u skladu s propisima Europske unije. </w:t>
      </w:r>
    </w:p>
    <w:p w:rsidR="000D7A0A" w:rsidRDefault="000D7A0A" w:rsidP="00DB4D4E">
      <w:pPr>
        <w:numPr>
          <w:ilvl w:val="0"/>
          <w:numId w:val="2"/>
        </w:numPr>
        <w:pBdr>
          <w:top w:val="single" w:sz="4" w:space="1" w:color="auto"/>
          <w:left w:val="single" w:sz="4" w:space="4" w:color="auto"/>
          <w:bottom w:val="single" w:sz="4" w:space="1" w:color="auto"/>
          <w:right w:val="single" w:sz="4" w:space="4" w:color="auto"/>
        </w:pBdr>
        <w:spacing w:after="0" w:line="264" w:lineRule="auto"/>
        <w:ind w:left="284"/>
        <w:contextualSpacing/>
      </w:pPr>
      <w:r w:rsidRPr="000D7A0A">
        <w:rPr>
          <w:rFonts w:eastAsiaTheme="minorHAnsi"/>
          <w:noProof/>
          <w:color w:val="auto"/>
        </w:rPr>
        <w:t>H</w:t>
      </w:r>
      <w:r w:rsidR="006D232D">
        <w:rPr>
          <w:rFonts w:eastAsiaTheme="minorHAnsi"/>
          <w:noProof/>
          <w:color w:val="auto"/>
        </w:rPr>
        <w:t>anfa</w:t>
      </w:r>
      <w:r w:rsidRPr="000D7A0A">
        <w:rPr>
          <w:rFonts w:eastAsiaTheme="minorHAnsi"/>
          <w:noProof/>
          <w:color w:val="auto"/>
        </w:rPr>
        <w:t xml:space="preserve"> može osim dokumentacije iz Pravilnika, tijekom postupanja po obavijesti zatražiti i drugu dokumentaciju koju ocijeni potrebnom, uključujući informacije koje su propisane zakonom koji uređuje sprečavanje pranja novca i financiranja terorizma a koju prikupljaju obveznici toga Zakona. </w:t>
      </w:r>
    </w:p>
    <w:sectPr w:rsidR="000D7A0A" w:rsidSect="00454C35">
      <w:pgSz w:w="11906" w:h="16838"/>
      <w:pgMar w:top="1276" w:right="143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073D"/>
    <w:multiLevelType w:val="hybridMultilevel"/>
    <w:tmpl w:val="E57EA0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B236874"/>
    <w:multiLevelType w:val="hybridMultilevel"/>
    <w:tmpl w:val="085605BC"/>
    <w:lvl w:ilvl="0" w:tplc="8174E634">
      <w:start w:val="1"/>
      <w:numFmt w:val="decimal"/>
      <w:lvlText w:val="%1."/>
      <w:lvlJc w:val="left"/>
      <w:pPr>
        <w:ind w:left="1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FA94A842">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93E416E6">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FB2C76F0">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5382FFC6">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01AC9D5E">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B9AC7434">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78A01858">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6D22511C">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D8"/>
    <w:rsid w:val="00053ADD"/>
    <w:rsid w:val="000D7A0A"/>
    <w:rsid w:val="00454C35"/>
    <w:rsid w:val="006D232D"/>
    <w:rsid w:val="009C35A9"/>
    <w:rsid w:val="00A12FD3"/>
    <w:rsid w:val="00AC42D8"/>
    <w:rsid w:val="00C30A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27B9"/>
  <w15:docId w15:val="{7A383767-BAB2-4D84-871E-D4B07AF8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6143">
    <w:name w:val="box466143"/>
    <w:basedOn w:val="Normal"/>
    <w:rsid w:val="000D7A0A"/>
    <w:pPr>
      <w:shd w:val="clear" w:color="auto" w:fill="FFFFFF"/>
      <w:spacing w:before="100" w:beforeAutospacing="1" w:after="0" w:line="240" w:lineRule="auto"/>
      <w:ind w:left="0" w:firstLine="0"/>
      <w:textAlignment w:val="baseline"/>
    </w:pPr>
    <w:rPr>
      <w:rFonts w:eastAsiaTheme="minorEastAsia"/>
      <w:color w:val="auto"/>
    </w:rPr>
  </w:style>
  <w:style w:type="character" w:customStyle="1" w:styleId="defaultparagraphfont-000009">
    <w:name w:val="defaultparagraphfont-000009"/>
    <w:basedOn w:val="DefaultParagraphFont"/>
    <w:rsid w:val="000D7A0A"/>
    <w:rPr>
      <w:rFonts w:ascii="Arial" w:hAnsi="Arial" w:cs="Arial" w:hint="default"/>
      <w:b w:val="0"/>
      <w:bCs w:val="0"/>
      <w:color w:val="231F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Floreani Petrovečki</dc:creator>
  <cp:keywords/>
  <cp:lastModifiedBy>Anita Bešlić Gadžo</cp:lastModifiedBy>
  <cp:revision>9</cp:revision>
  <dcterms:created xsi:type="dcterms:W3CDTF">2022-09-12T13:21:00Z</dcterms:created>
  <dcterms:modified xsi:type="dcterms:W3CDTF">2022-09-12T14:00:00Z</dcterms:modified>
</cp:coreProperties>
</file>