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E6F" w:rsidRDefault="00ED0E6F" w:rsidP="00ED0E6F">
      <w:pPr>
        <w:pStyle w:val="box467284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I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 xml:space="preserve">Namjeravani stjecatelj </w:t>
      </w:r>
      <w:r w:rsidRPr="00FA0048">
        <w:rPr>
          <w:rFonts w:ascii="Arial" w:hAnsi="Arial" w:cs="Arial"/>
          <w:b/>
        </w:rPr>
        <w:t>fizička osoba</w:t>
      </w:r>
      <w:r>
        <w:rPr>
          <w:rFonts w:ascii="Arial" w:hAnsi="Arial" w:cs="Arial"/>
        </w:rPr>
        <w:t xml:space="preserve"> uz zahtjev iz članka 4. </w:t>
      </w:r>
      <w:r w:rsidRPr="00010B55">
        <w:rPr>
          <w:rFonts w:ascii="Arial" w:hAnsi="Arial" w:cs="Arial"/>
        </w:rPr>
        <w:t>Pravilnika prilaže najmanje sljedeću dokumentaciju i podatke: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1. presliku osobne iskaznice ili putovnice, a namjeravani stjecatelj iz druge države članice ili treće države presliku osobne iskaznice ili putne isprave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2. životopis namjeravanog stjecatelja koji uključuje osobne podatke (ime i prezime, adresu prebivališta odnosno trajnog boravišta i druge identifikacijske podatke stjecatelja), popis svih pravnih osoba u kojima je bio ili je još uvijek zaposlen i popis pravnih osoba u kojima je imao ili još uvijek ima kvalificirani udjel,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3. popis osoba koje su u smislu članka 3. stavka 1. točke 145. Zakona usko povezane s namjeravanim stjecateljem i opis načina povezanosti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4. dokaz o osiguranim sredstvima za stjecanje kvalificiranog udjela te opis načina, odnosno izvora financiranja i dokumente koji potvrđuju pravni status i porijeklo financijskih sredstava namjeravanog stjecatelja za uplatu temeljnog kapitala društva i održavanje bonitetnog funkcioniranja društva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5. dokaz da nije pravomoćno osuđen za kaznena dje</w:t>
      </w:r>
      <w:r>
        <w:rPr>
          <w:rFonts w:ascii="Arial" w:hAnsi="Arial" w:cs="Arial"/>
        </w:rPr>
        <w:t xml:space="preserve">la iz članka 16. stavka 1. </w:t>
      </w:r>
      <w:r w:rsidRPr="00010B55">
        <w:rPr>
          <w:rFonts w:ascii="Arial" w:hAnsi="Arial" w:cs="Arial"/>
        </w:rPr>
        <w:t xml:space="preserve"> Pravilnika (kada nadležno tijelo izdaje uvjerenje iz ove točke, dostavlja se uvjerenje koje nije starije od tri mjeseca od dana podnošenja zahtjeva, a u suprotnom se dostav</w:t>
      </w:r>
      <w:r>
        <w:rPr>
          <w:rFonts w:ascii="Arial" w:hAnsi="Arial" w:cs="Arial"/>
        </w:rPr>
        <w:t xml:space="preserve">lja izjava iz Priloga VII. </w:t>
      </w:r>
      <w:r w:rsidRPr="00010B55">
        <w:rPr>
          <w:rFonts w:ascii="Arial" w:hAnsi="Arial" w:cs="Arial"/>
        </w:rPr>
        <w:t>Pravilnika s potpisom namjeravanog stjecatelja ovjerenim od javnog bilježnika, o ispunjavanju uvjeta iz ove točke, ne starija od mjesec dana od dana podnošenja zahtjeva)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6. ispunj</w:t>
      </w:r>
      <w:r>
        <w:rPr>
          <w:rFonts w:ascii="Arial" w:hAnsi="Arial" w:cs="Arial"/>
        </w:rPr>
        <w:t>eni Upitnik iz Priloga II.</w:t>
      </w:r>
      <w:r w:rsidRPr="00010B55">
        <w:rPr>
          <w:rFonts w:ascii="Arial" w:hAnsi="Arial" w:cs="Arial"/>
        </w:rPr>
        <w:t xml:space="preserve"> Pravilnika, s potpisom namjeravanog stjecatelja, ovjerenim od javnog bilježnika, ne stariji od mjesec dana od dana podnošenja zahtjeva za izdavanje odobrenja za stjecanje kvalificiranog udjela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7. popis suradnika namjeravanog stjecatelja koji popis u odnosu na suradnike hrvatske državljane osim podatka o imenu i prezimenu suradnika, sadrži i podatke o OIB-u, rođenom prezimenu, spolu, državljanstvu, imenu i prezimenu oca i majke, datumu rođenja, mjestu i državi rođenja, prebivalištu, a za suradnike strane državljane dostavlja se i dokaz da nisu pravomoćno osuđeni za kaznena dje</w:t>
      </w:r>
      <w:r w:rsidR="00EC2561">
        <w:rPr>
          <w:rFonts w:ascii="Arial" w:hAnsi="Arial" w:cs="Arial"/>
        </w:rPr>
        <w:t xml:space="preserve">la iz članka 16. stavka 1. </w:t>
      </w:r>
      <w:r w:rsidRPr="00010B55">
        <w:rPr>
          <w:rFonts w:ascii="Arial" w:hAnsi="Arial" w:cs="Arial"/>
        </w:rPr>
        <w:t xml:space="preserve"> Pravilnika (kada nadležno tijelo izdaje uvjerenje iz ove točke, dostavlja se uvjerenje koje nije starije od tri mjeseca od dana podnošenja zahtjeva, a u suprotnom se dostav</w:t>
      </w:r>
      <w:r>
        <w:rPr>
          <w:rFonts w:ascii="Arial" w:hAnsi="Arial" w:cs="Arial"/>
        </w:rPr>
        <w:t xml:space="preserve">lja izjava iz Priloga VII. </w:t>
      </w:r>
      <w:r w:rsidRPr="00010B55">
        <w:rPr>
          <w:rFonts w:ascii="Arial" w:hAnsi="Arial" w:cs="Arial"/>
        </w:rPr>
        <w:t>Pravilnika s potpisom suradnika ovjerenim od javnog bilježnika, ne starija od mjesec dana od dana podnošenja zahtjeva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8. popis osoba koje će nakon stjecanja voditi poslove ili nadzirati vođenje poslova društva a koji sadrži podatke o imenu i prezimenu, OIB, državljanstvu, datumu rođenja, mjestu i državi rođenja, adresi prebivališta, presliku osobne iskaznice ili putovnice, životopis tih osoba i dokaz da nisu pravomoćno osuđeni za kaznena djel</w:t>
      </w:r>
      <w:r>
        <w:rPr>
          <w:rFonts w:ascii="Arial" w:hAnsi="Arial" w:cs="Arial"/>
        </w:rPr>
        <w:t xml:space="preserve">a iz članka 16. stavka 1. </w:t>
      </w:r>
      <w:r w:rsidRPr="00010B55">
        <w:rPr>
          <w:rFonts w:ascii="Arial" w:hAnsi="Arial" w:cs="Arial"/>
        </w:rPr>
        <w:t>Pravilnika (kada nadležno tijelo izdaje uvjerenje iz ove točke, dostavlja se uvjerenje koje nije starije od tri mjeseca od dana podnošenja zahtjeva, a u suprotnom se dostav</w:t>
      </w:r>
      <w:r w:rsidR="00EC2561">
        <w:rPr>
          <w:rFonts w:ascii="Arial" w:hAnsi="Arial" w:cs="Arial"/>
        </w:rPr>
        <w:t xml:space="preserve">lja izjava iz Priloga VII. </w:t>
      </w:r>
      <w:r w:rsidRPr="00010B55">
        <w:rPr>
          <w:rFonts w:ascii="Arial" w:hAnsi="Arial" w:cs="Arial"/>
        </w:rPr>
        <w:t xml:space="preserve">Pravilnika, s potpisom osobe koja će nakon stjecanja voditi poslove ili nadzirati vođenje poslova Društva, ovjerenim od </w:t>
      </w:r>
      <w:r w:rsidRPr="00010B55">
        <w:rPr>
          <w:rFonts w:ascii="Arial" w:hAnsi="Arial" w:cs="Arial"/>
        </w:rPr>
        <w:lastRenderedPageBreak/>
        <w:t>javnog bilježnika, o ispunjavanju uvjeta iz ove točke, ne starija od mjesec dana od dana podnošenja zahtjeva)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>9. kada je to primjenjivo, mišljenje ili suglasnost nadležnog nadzornog tijela namjeravanog stjecatelja iz države članice ili treće države o namjeravanom stjecatelju i namjeravanom stjecanju</w:t>
      </w:r>
    </w:p>
    <w:p w:rsidR="00010B55" w:rsidRPr="00010B55" w:rsidRDefault="00010B55" w:rsidP="00010B55">
      <w:pPr>
        <w:pStyle w:val="box467284"/>
        <w:jc w:val="both"/>
        <w:rPr>
          <w:rFonts w:ascii="Arial" w:hAnsi="Arial" w:cs="Arial"/>
        </w:rPr>
      </w:pPr>
      <w:r w:rsidRPr="00010B55">
        <w:rPr>
          <w:rFonts w:ascii="Arial" w:hAnsi="Arial" w:cs="Arial"/>
        </w:rPr>
        <w:t xml:space="preserve">10. dokaz o plaćenoj naknadi propisanim pravilnikom o vrsti i visini naknada </w:t>
      </w:r>
      <w:proofErr w:type="spellStart"/>
      <w:r w:rsidRPr="00010B55">
        <w:rPr>
          <w:rFonts w:ascii="Arial" w:hAnsi="Arial" w:cs="Arial"/>
        </w:rPr>
        <w:t>Hanfe</w:t>
      </w:r>
      <w:proofErr w:type="spellEnd"/>
      <w:r w:rsidRPr="00010B55">
        <w:rPr>
          <w:rFonts w:ascii="Arial" w:hAnsi="Arial" w:cs="Arial"/>
        </w:rPr>
        <w:t>.</w:t>
      </w:r>
    </w:p>
    <w:p w:rsidR="002C49F0" w:rsidRPr="00ED0E6F" w:rsidRDefault="00ED0E6F" w:rsidP="00ED0E6F">
      <w:pPr>
        <w:pStyle w:val="box467284"/>
        <w:jc w:val="center"/>
        <w:rPr>
          <w:rFonts w:ascii="Arial" w:hAnsi="Arial" w:cs="Arial"/>
        </w:rPr>
      </w:pPr>
      <w:r w:rsidRPr="00ED0E6F">
        <w:rPr>
          <w:rFonts w:ascii="Arial" w:hAnsi="Arial" w:cs="Arial"/>
        </w:rPr>
        <w:t>II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Ako stjecatelj namjerava steći 10 % ili više udjela, ali manje od 20 % udjela u kapitalu odnosno glasačkim pravima u društvu, zahtjevu je potrebno priložiti i informacije o strategiji, koje sadržavaju sljedeće podatke: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1. strategiju stjecatelja u odnosu na stjecanje, koja sadržava izjavu o tome koliko dugo namjerava držati udjele u društvu i namjerava li povećati, smanjiti ili održati udio u kapitalu u sljedećih pet godina nakon stjecanja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2. naznaku namjerava li stjecatelj djelovati kao aktivni manjinski dioničar i razloge zbog kojih namjerava imati takvu ulogu u upravljanju društvom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3. informaciju o financijskom stanju stjecatelja i spremnosti da uloži dodatna sredstva u kapital društva ako to bude potrebno radi razvoja poslovanja društva ili u slučaju financijskih poteškoća.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(2) Ako stjecatelj namjerava steći 20 % ili više udjela, ali manje od 50 % udjela u kapitalu odnosno glasačkim pravima društva ili ako ima udio manji od 20 %, ali će zbog vlasničke strukture društva steći utjecaj koji bi imao dioničar koji ima više od 20 %, a manje od 50 % udjela u kapitalu odnosno glasačkim pravima društva, zahtjevu je potrebno priložiti i informacije o strategiji u odnosu na društvo koje osim podataka iz stavka 1. ovog članka sadržavaju i sljedeće informacije: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1. detalje o namjeravanom utjecaju stjecatelja na financijski položaj društva, uključujući politiku dividendi, strateški razvoj i raspodjelu sredstava društva i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2. opis namjera i očekivanja stjecatelja u odnosu na društvo u razdoblju od pet godina sa svim elementima navedenima u stavku 4. ovog članka.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(3) Ako stjecatelj namjerava steći najmanje 50 % udjela u kapitalu odnosno glasačkim pravima društva ili ako će realizacijom stjecanja društvo postati njegovo društvo kćer, zahtjevu za izdavanje prethodne suglasnosti pored podataka iz stavaka 1. i 2. ovog članka, osim podataka točke 2. stavka 1. ovog članka, potrebno je priložiti i poslovni plan koji sadržava plan strateškog razvoja, projekciju financijskih izvješća i opis utjecaja stjecanja na korporativno upravljanje i organizacijsku strukturu društva u kojemu se stječe kvalificirani udio.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(4) Strateški plan razvoja društva iz stavka 3. ovog članka mora sadržavati glavne ciljeve namjeravanog stjecanja i načine na koje se oni namjeravaju postići, uključujući: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lastRenderedPageBreak/>
        <w:t>1. opći cilj namjeravanog stjecanja,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 xml:space="preserve">2. financijske ciljeve za prve tri financijske godine nakon stjecanja izražene kroz očekivani povrat na kapital, omjer troškova i koristi (engl. </w:t>
      </w:r>
      <w:proofErr w:type="spellStart"/>
      <w:r w:rsidRPr="002C49F0">
        <w:rPr>
          <w:rStyle w:val="kurziv"/>
          <w:rFonts w:ascii="Arial" w:hAnsi="Arial" w:cs="Arial"/>
        </w:rPr>
        <w:t>cost-benefit</w:t>
      </w:r>
      <w:proofErr w:type="spellEnd"/>
      <w:r w:rsidRPr="002C49F0">
        <w:rPr>
          <w:rStyle w:val="kurziv"/>
          <w:rFonts w:ascii="Arial" w:hAnsi="Arial" w:cs="Arial"/>
        </w:rPr>
        <w:t xml:space="preserve">), </w:t>
      </w:r>
      <w:r w:rsidRPr="002C49F0">
        <w:rPr>
          <w:rFonts w:ascii="Arial" w:hAnsi="Arial" w:cs="Arial"/>
        </w:rPr>
        <w:t>zaradi po dionici,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3. utjecaj namjeravanog stjecanja na eventualnu promjenu djelatnosti, proizvoda, ciljanih klijenata kada je primjenjivo i preraspodjelu sredstava društva i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 xml:space="preserve">4. aktivnosti i postupak uključivanja društva u kojemu se stječe kvalificirani udio u grupu s opisom budućih odnosa s drugim članicama grupe i opisom politika </w:t>
      </w:r>
      <w:proofErr w:type="spellStart"/>
      <w:r w:rsidRPr="002C49F0">
        <w:rPr>
          <w:rFonts w:ascii="Arial" w:hAnsi="Arial" w:cs="Arial"/>
        </w:rPr>
        <w:t>unutargrupnih</w:t>
      </w:r>
      <w:proofErr w:type="spellEnd"/>
      <w:r w:rsidRPr="002C49F0">
        <w:rPr>
          <w:rFonts w:ascii="Arial" w:hAnsi="Arial" w:cs="Arial"/>
        </w:rPr>
        <w:t xml:space="preserve"> odnosa. Ako je riječ o institucijama koje su dobile odobrenje i koje nadziru nadležna tijela u Europskoj uniji, dovoljna je informacija o pojedinim dijelovima grupe koji su izravno obuhvaćeni namjeravanim stjecanjem.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(5) Projekcije financijskih izvješća iz stavka 3. ovog članka moraju biti izrađene na pojedinačnoj i na konsolidiranoj osnovi za razdoblje od tri godine i moraju sadržavati: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 xml:space="preserve">1. projekciju bilance i računa dobiti i gubitka na obrascima na kojima se dostavljaju nadzorna izvješća </w:t>
      </w:r>
      <w:proofErr w:type="spellStart"/>
      <w:r w:rsidRPr="002C49F0">
        <w:rPr>
          <w:rFonts w:ascii="Arial" w:hAnsi="Arial" w:cs="Arial"/>
        </w:rPr>
        <w:t>Hanfi</w:t>
      </w:r>
      <w:proofErr w:type="spellEnd"/>
      <w:r w:rsidRPr="002C49F0">
        <w:rPr>
          <w:rFonts w:ascii="Arial" w:hAnsi="Arial" w:cs="Arial"/>
        </w:rPr>
        <w:t>,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2. projekciju kapitalnih zahtjeva i stope adekvatnosti kapitala,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3. informacije o izloženosti rizicima, uključujući kreditni, tržišni, operativni i druge relevantne rizike,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 xml:space="preserve">4. projekcije </w:t>
      </w:r>
      <w:proofErr w:type="spellStart"/>
      <w:r w:rsidRPr="002C49F0">
        <w:rPr>
          <w:rFonts w:ascii="Arial" w:hAnsi="Arial" w:cs="Arial"/>
        </w:rPr>
        <w:t>unutargrupnih</w:t>
      </w:r>
      <w:proofErr w:type="spellEnd"/>
      <w:r w:rsidRPr="002C49F0">
        <w:rPr>
          <w:rFonts w:ascii="Arial" w:hAnsi="Arial" w:cs="Arial"/>
        </w:rPr>
        <w:t xml:space="preserve"> transakcija.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(6) Opis utjecaja stjecanja na korporativno upravljanje i organizacijsku strukturu društva iz stavka 3. ovog članka mora sadržavati opis utjecaja na: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1. sastav i dužnosti uprave, nadzornog odbora i drugih tijela društva, uključujući informacije o osobama koje će rukovoditi poslovanjem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2. administrativne i računovodstvene postupke i unutarnje kontrole, uključujući promjene u postupcima iz područja računovodstva, unutarnje revizije, praćenja usklađenosti, sprječavanja pranja novca i financiranja terorizma i upravljanja rizicima te imenovanju osobe odgovorne za rad funkcije unutarnje revizije, osobe odgovorne za rad funkcije praćenja usklađenosti i osobe zadužene za rad funkcije kontrole rizika,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3. cjelokupnu IT arhitekturu, uključujući sve promjene politike eksternalizacije, dijagram toka podataka, software kojim se koristi, osnovne procedure i alate za sigurnost informacijskog sustava, uključujući pričuvnu pohranu, planove kontinuiteta poslovanja i revizorske zapise,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>4. politike izdvajanja poslovnih procesa, uključujući informacije o poslovnim procesima koja će se izdvajati, izbor pružatelja usluga i prava i obveze definirane ugovorima o izdvajanju poslovnih procesa, uključujući reviziju i kvalitetu usluge koja se očekuje i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lastRenderedPageBreak/>
        <w:t>5. ostale informacije koje mogu utjecati na korporativno upravljanje i organizacijsku strukturu društva u kojemu se stječe kvalificirani udio, uključujući sve promjene u glasačkim pravima dioničara.</w:t>
      </w:r>
    </w:p>
    <w:p w:rsidR="002C49F0" w:rsidRPr="002C49F0" w:rsidRDefault="002C49F0" w:rsidP="002C49F0">
      <w:pPr>
        <w:pStyle w:val="box467284"/>
        <w:jc w:val="both"/>
        <w:rPr>
          <w:rFonts w:ascii="Arial" w:hAnsi="Arial" w:cs="Arial"/>
        </w:rPr>
      </w:pPr>
      <w:r w:rsidRPr="002C49F0">
        <w:rPr>
          <w:rFonts w:ascii="Arial" w:hAnsi="Arial" w:cs="Arial"/>
        </w:rPr>
        <w:t xml:space="preserve">(7) Ako do stjecanja kvalificiranog udjela dolazi na temelju </w:t>
      </w:r>
      <w:proofErr w:type="spellStart"/>
      <w:r w:rsidRPr="002C49F0">
        <w:rPr>
          <w:rFonts w:ascii="Arial" w:hAnsi="Arial" w:cs="Arial"/>
        </w:rPr>
        <w:t>unutargrupne</w:t>
      </w:r>
      <w:proofErr w:type="spellEnd"/>
      <w:r w:rsidRPr="002C49F0">
        <w:rPr>
          <w:rFonts w:ascii="Arial" w:hAnsi="Arial" w:cs="Arial"/>
        </w:rPr>
        <w:t xml:space="preserve"> transakcije, pri čemu se ne mijenja krajnji posredni stjecatelj, stjecatelj nije dužan dostaviti strategiju, poslovni plan i unutarnju organizaciju društva, ako namjeravanim stjecanjem neće doći do izmjena navedenih dokumenata.</w:t>
      </w:r>
    </w:p>
    <w:p w:rsidR="008C4E1A" w:rsidRPr="002C49F0" w:rsidRDefault="008C4E1A" w:rsidP="002C49F0">
      <w:pPr>
        <w:jc w:val="both"/>
        <w:rPr>
          <w:rFonts w:ascii="Arial" w:hAnsi="Arial" w:cs="Arial"/>
          <w:sz w:val="24"/>
          <w:szCs w:val="24"/>
        </w:rPr>
      </w:pPr>
    </w:p>
    <w:sectPr w:rsidR="008C4E1A" w:rsidRPr="002C49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831"/>
    <w:rsid w:val="00010B55"/>
    <w:rsid w:val="00084F9F"/>
    <w:rsid w:val="002C49F0"/>
    <w:rsid w:val="00341C06"/>
    <w:rsid w:val="003E2FC8"/>
    <w:rsid w:val="004B6986"/>
    <w:rsid w:val="00812435"/>
    <w:rsid w:val="008C4E1A"/>
    <w:rsid w:val="00AD43FE"/>
    <w:rsid w:val="00E55D5F"/>
    <w:rsid w:val="00EB1831"/>
    <w:rsid w:val="00EC2561"/>
    <w:rsid w:val="00ED0E6F"/>
    <w:rsid w:val="00F254F2"/>
    <w:rsid w:val="00FA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EE35"/>
  <w15:chartTrackingRefBased/>
  <w15:docId w15:val="{AA7374AA-BDE2-4AD4-9AA9-1FF79879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284">
    <w:name w:val="box_467284"/>
    <w:basedOn w:val="Normal"/>
    <w:rsid w:val="00010B55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DefaultParagraphFont"/>
    <w:rsid w:val="002C49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7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1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6463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47889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962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2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9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9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1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586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7432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027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0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Veseli</dc:creator>
  <cp:keywords/>
  <dc:description/>
  <cp:lastModifiedBy>Ksenija Veseli</cp:lastModifiedBy>
  <cp:revision>8</cp:revision>
  <dcterms:created xsi:type="dcterms:W3CDTF">2021-10-19T10:06:00Z</dcterms:created>
  <dcterms:modified xsi:type="dcterms:W3CDTF">2021-10-19T10:58:00Z</dcterms:modified>
</cp:coreProperties>
</file>