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EFCCC" w14:textId="01AC0E87" w:rsidR="00100177" w:rsidRPr="00100177" w:rsidRDefault="00E5429D" w:rsidP="00100177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Informacija o </w:t>
      </w:r>
      <w:r w:rsidR="00100177" w:rsidRPr="000B14AB">
        <w:rPr>
          <w:b/>
          <w:sz w:val="28"/>
          <w:szCs w:val="28"/>
        </w:rPr>
        <w:t>M</w:t>
      </w:r>
      <w:r w:rsidR="00662484" w:rsidRPr="000B14AB">
        <w:rPr>
          <w:b/>
          <w:sz w:val="28"/>
          <w:szCs w:val="28"/>
        </w:rPr>
        <w:t>etodologij</w:t>
      </w:r>
      <w:r>
        <w:rPr>
          <w:b/>
          <w:sz w:val="28"/>
          <w:szCs w:val="28"/>
        </w:rPr>
        <w:t>i</w:t>
      </w:r>
      <w:r w:rsidR="00100177" w:rsidRPr="000B14AB">
        <w:rPr>
          <w:b/>
          <w:sz w:val="28"/>
          <w:szCs w:val="28"/>
        </w:rPr>
        <w:t xml:space="preserve"> </w:t>
      </w:r>
      <w:r w:rsidR="00662484" w:rsidRPr="000B14AB">
        <w:rPr>
          <w:b/>
          <w:sz w:val="28"/>
          <w:szCs w:val="28"/>
        </w:rPr>
        <w:t xml:space="preserve">utvrđivanja pokazatelja koji upućuju na potencijalno poslovanje ne-novčanih fondova u skladu s definicijom novčanih fondova iz </w:t>
      </w:r>
      <w:r w:rsidR="00100177" w:rsidRPr="000B14AB">
        <w:rPr>
          <w:b/>
          <w:sz w:val="28"/>
          <w:szCs w:val="28"/>
        </w:rPr>
        <w:t>U</w:t>
      </w:r>
      <w:r w:rsidR="00662484" w:rsidRPr="000B14AB">
        <w:rPr>
          <w:b/>
          <w:sz w:val="28"/>
          <w:szCs w:val="28"/>
        </w:rPr>
        <w:t xml:space="preserve">redbe </w:t>
      </w:r>
      <w:r w:rsidR="00100177" w:rsidRPr="000B14AB">
        <w:rPr>
          <w:b/>
          <w:sz w:val="28"/>
          <w:szCs w:val="28"/>
        </w:rPr>
        <w:t>(EU) 2017/1131</w:t>
      </w:r>
    </w:p>
    <w:p w14:paraId="3DE51EB0" w14:textId="1CCD107E" w:rsidR="00100177" w:rsidRDefault="00100177" w:rsidP="00923209">
      <w:pPr>
        <w:pStyle w:val="Heading1"/>
        <w:ind w:left="357" w:hanging="357"/>
      </w:pPr>
      <w:r>
        <w:t>Uvod</w:t>
      </w:r>
      <w:r w:rsidR="00933010">
        <w:t>ne odredbe</w:t>
      </w:r>
    </w:p>
    <w:p w14:paraId="19D71417" w14:textId="2975308C" w:rsidR="00100177" w:rsidRDefault="00100177" w:rsidP="00100177">
      <w:r>
        <w:t xml:space="preserve">Sukladno Uredbi (EU) 2017/1131 Europskog parlamenta i vijeća od 14. lipnja 2017. o novčanim fondovima (dalje: Uredba o novčanim fondovima), </w:t>
      </w:r>
      <w:r w:rsidR="000752A0">
        <w:t xml:space="preserve">novčani fondovi </w:t>
      </w:r>
      <w:r w:rsidR="00F15981">
        <w:t>definiraju se kao</w:t>
      </w:r>
      <w:r w:rsidR="006F5EF6">
        <w:t xml:space="preserve"> </w:t>
      </w:r>
      <w:r w:rsidR="00E66839">
        <w:t>svi subjekti</w:t>
      </w:r>
      <w:r>
        <w:t xml:space="preserve"> za zajednička ulaganja koji:</w:t>
      </w:r>
    </w:p>
    <w:p w14:paraId="6B2A7B23" w14:textId="44184989" w:rsidR="00100177" w:rsidRDefault="00100177" w:rsidP="00387857">
      <w:pPr>
        <w:pStyle w:val="ListParagraph"/>
        <w:numPr>
          <w:ilvl w:val="0"/>
          <w:numId w:val="2"/>
        </w:numPr>
      </w:pPr>
      <w:r>
        <w:t xml:space="preserve">imaju odobrenje za rad kao UCITS </w:t>
      </w:r>
      <w:r w:rsidR="0074075C">
        <w:t xml:space="preserve">fondovi </w:t>
      </w:r>
      <w:r>
        <w:t>u skladu s</w:t>
      </w:r>
      <w:r w:rsidR="00387857">
        <w:t xml:space="preserve">a </w:t>
      </w:r>
      <w:r w:rsidR="00387857" w:rsidRPr="00387857">
        <w:t>Zakon</w:t>
      </w:r>
      <w:r w:rsidR="00387857">
        <w:t>om</w:t>
      </w:r>
      <w:r w:rsidR="00387857" w:rsidRPr="00387857">
        <w:t xml:space="preserve"> o otvorenim investicijskim fondovima s javnom ponudom</w:t>
      </w:r>
      <w:r>
        <w:t xml:space="preserve"> ili su </w:t>
      </w:r>
      <w:r w:rsidR="00844D62">
        <w:t>alternativni investicijski fond</w:t>
      </w:r>
      <w:r>
        <w:t>ovi</w:t>
      </w:r>
      <w:r w:rsidR="00844D62">
        <w:t xml:space="preserve"> (dalje: AIF)</w:t>
      </w:r>
      <w:r>
        <w:t xml:space="preserve"> u skladu s</w:t>
      </w:r>
      <w:r w:rsidR="00387857">
        <w:t xml:space="preserve">a </w:t>
      </w:r>
      <w:r w:rsidR="00387857" w:rsidRPr="00387857">
        <w:t>Zakon</w:t>
      </w:r>
      <w:r w:rsidR="00387857">
        <w:t>om</w:t>
      </w:r>
      <w:r w:rsidR="00387857" w:rsidRPr="00387857">
        <w:t xml:space="preserve"> o alternativnim investicijskim fondovima</w:t>
      </w:r>
      <w:r>
        <w:t>,</w:t>
      </w:r>
    </w:p>
    <w:p w14:paraId="57C2E42D" w14:textId="1EE5FE46" w:rsidR="00100177" w:rsidRDefault="00100177" w:rsidP="00100177">
      <w:pPr>
        <w:pStyle w:val="ListParagraph"/>
        <w:numPr>
          <w:ilvl w:val="0"/>
          <w:numId w:val="2"/>
        </w:numPr>
      </w:pPr>
      <w:r>
        <w:t>ulažu u kratkoročnu imovinu</w:t>
      </w:r>
      <w:r w:rsidR="00534864">
        <w:rPr>
          <w:rStyle w:val="FootnoteReference"/>
        </w:rPr>
        <w:footnoteReference w:id="2"/>
      </w:r>
      <w:r>
        <w:t xml:space="preserve"> i</w:t>
      </w:r>
    </w:p>
    <w:p w14:paraId="6AB872EE" w14:textId="401B3F5B" w:rsidR="00100177" w:rsidRDefault="00100177" w:rsidP="00100177">
      <w:pPr>
        <w:pStyle w:val="ListParagraph"/>
        <w:numPr>
          <w:ilvl w:val="0"/>
          <w:numId w:val="2"/>
        </w:numPr>
        <w:ind w:left="714" w:hanging="357"/>
      </w:pPr>
      <w:r>
        <w:t>imaju pojedinačni ili kumulativni cilj nuditi prinose u skladu sa stopama na tržištu novca i</w:t>
      </w:r>
      <w:r w:rsidR="00E66839">
        <w:t>li očuvati vrijednosti ulaganja</w:t>
      </w:r>
    </w:p>
    <w:p w14:paraId="705A691C" w14:textId="1B4BCBA4" w:rsidR="00E66839" w:rsidRDefault="00B93527" w:rsidP="00E66839">
      <w:r>
        <w:t xml:space="preserve">te su kao takvi </w:t>
      </w:r>
      <w:r w:rsidR="00886C0F">
        <w:t xml:space="preserve">dužni uskladiti svoje poslovanje </w:t>
      </w:r>
      <w:r>
        <w:t>sa svim odredbama Uredbe o novčanim fondovima</w:t>
      </w:r>
      <w:r w:rsidR="007A1E1F">
        <w:t xml:space="preserve"> i Zakonom o </w:t>
      </w:r>
      <w:r w:rsidR="000570F9" w:rsidRPr="000570F9">
        <w:t>provedbi Uredbe (EU) BR. 2017/1131 o novčanim fondovima</w:t>
      </w:r>
      <w:r>
        <w:t>.</w:t>
      </w:r>
    </w:p>
    <w:p w14:paraId="411DF378" w14:textId="27B1DDE4" w:rsidR="00100177" w:rsidRDefault="00100177" w:rsidP="00100177">
      <w:r>
        <w:t>U tu svrhu, Hrvatska agencija za nadzor financijskih usluga (dalje: Hanfa)</w:t>
      </w:r>
      <w:r w:rsidR="000570F9">
        <w:t xml:space="preserve"> </w:t>
      </w:r>
      <w:r w:rsidR="00E5429D">
        <w:t>razvila je</w:t>
      </w:r>
      <w:r w:rsidR="004D6D68">
        <w:t xml:space="preserve"> </w:t>
      </w:r>
      <w:r w:rsidR="000570F9" w:rsidRPr="000570F9">
        <w:t>Metodologij</w:t>
      </w:r>
      <w:r w:rsidR="00E5429D">
        <w:t xml:space="preserve">u kojom </w:t>
      </w:r>
      <w:r w:rsidR="000570F9" w:rsidRPr="000570F9">
        <w:t>utvrđ</w:t>
      </w:r>
      <w:r w:rsidR="00345DA6">
        <w:t>uje</w:t>
      </w:r>
      <w:r w:rsidR="000570F9" w:rsidRPr="000570F9">
        <w:t xml:space="preserve"> pokazatelj</w:t>
      </w:r>
      <w:r w:rsidR="00345DA6">
        <w:t>e</w:t>
      </w:r>
      <w:r w:rsidR="000570F9" w:rsidRPr="000570F9">
        <w:t xml:space="preserve"> </w:t>
      </w:r>
      <w:r w:rsidR="001B640C" w:rsidRPr="001B640C">
        <w:t xml:space="preserve">ranog upozorenja (eng. </w:t>
      </w:r>
      <w:r w:rsidR="001B640C" w:rsidRPr="001B640C">
        <w:rPr>
          <w:i/>
        </w:rPr>
        <w:t>Early Warning Signal</w:t>
      </w:r>
      <w:r w:rsidR="001B640C">
        <w:rPr>
          <w:i/>
        </w:rPr>
        <w:t>s</w:t>
      </w:r>
      <w:r w:rsidR="001B640C" w:rsidRPr="001B640C">
        <w:t>; dalje: pokazatelji)</w:t>
      </w:r>
      <w:r w:rsidR="001B640C">
        <w:t xml:space="preserve"> </w:t>
      </w:r>
      <w:r w:rsidR="000570F9" w:rsidRPr="000570F9">
        <w:t>koji upućuju na potencijalno poslovanje ne-novčanih fondova u skladu s definicijom novčanih fondova iz Uredbe (EU) 2017/1131</w:t>
      </w:r>
      <w:r w:rsidR="00EC66BC">
        <w:t>. Hanfa</w:t>
      </w:r>
      <w:r>
        <w:t xml:space="preserve"> redovito provodi kvantitativne analize čiji je cilj utvrditi jesu li ti pokazatelji aktivirani.</w:t>
      </w:r>
    </w:p>
    <w:p w14:paraId="351228B9" w14:textId="77777777" w:rsidR="00100177" w:rsidRDefault="00100177" w:rsidP="00923209">
      <w:pPr>
        <w:pStyle w:val="Heading1"/>
        <w:ind w:left="357" w:hanging="357"/>
      </w:pPr>
      <w:r>
        <w:t>Predmet kvantitativnih analiza</w:t>
      </w:r>
    </w:p>
    <w:p w14:paraId="14B10ACA" w14:textId="008AB28F" w:rsidR="00100177" w:rsidRDefault="00100177" w:rsidP="00100177">
      <w:r>
        <w:t xml:space="preserve">Kvantitativne analize koje za cilj imaju utvrditi jesu li aktivirani pokazatelji koji upućuju na potencijalno poslovanje ne-novčanih fondova u skladu s </w:t>
      </w:r>
      <w:r w:rsidR="00B93527">
        <w:t>definicijom novčanih fondova</w:t>
      </w:r>
      <w:r>
        <w:t xml:space="preserve"> </w:t>
      </w:r>
      <w:r w:rsidR="00F15981">
        <w:t xml:space="preserve">iz Uredbe o novčanim fondovima </w:t>
      </w:r>
      <w:r>
        <w:t xml:space="preserve">Hanfa provodi </w:t>
      </w:r>
      <w:r w:rsidR="005D17EC">
        <w:t xml:space="preserve">barem </w:t>
      </w:r>
      <w:r>
        <w:t xml:space="preserve">nad: </w:t>
      </w:r>
    </w:p>
    <w:p w14:paraId="66F7A918" w14:textId="0B2509D0" w:rsidR="00100177" w:rsidRDefault="00100177" w:rsidP="00804F58">
      <w:pPr>
        <w:pStyle w:val="ListParagraph"/>
        <w:numPr>
          <w:ilvl w:val="0"/>
          <w:numId w:val="2"/>
        </w:numPr>
      </w:pPr>
      <w:r>
        <w:t>svim novčanim fondovima za koje je Hanfa izdala odobrenje za rad kao novčanom fondu u skladu s Uredbom o novčanim fondovima</w:t>
      </w:r>
      <w:r w:rsidR="001B7B71">
        <w:t xml:space="preserve"> i Zakonom o provedbi Uredbe </w:t>
      </w:r>
      <w:r w:rsidR="00804F58" w:rsidRPr="00804F58">
        <w:t xml:space="preserve">(EU) BR. 2017/1131 </w:t>
      </w:r>
      <w:r w:rsidR="001B7B71">
        <w:t>o novčanim fondovima</w:t>
      </w:r>
    </w:p>
    <w:p w14:paraId="461EE306" w14:textId="2155F80E" w:rsidR="00100177" w:rsidRDefault="00100177" w:rsidP="00100177">
      <w:pPr>
        <w:pStyle w:val="ListParagraph"/>
        <w:numPr>
          <w:ilvl w:val="0"/>
          <w:numId w:val="2"/>
        </w:numPr>
      </w:pPr>
      <w:r>
        <w:t>svim obvezničkim UCITS fondovima</w:t>
      </w:r>
      <w:r w:rsidR="00EC66BC">
        <w:t xml:space="preserve"> </w:t>
      </w:r>
      <w:r w:rsidR="007A1E1F">
        <w:t xml:space="preserve">i AIF-ima </w:t>
      </w:r>
      <w:r w:rsidR="00EC66BC">
        <w:t>kojima je Hanfa izdala odobrenje za rad i</w:t>
      </w:r>
      <w:r>
        <w:t>:</w:t>
      </w:r>
    </w:p>
    <w:p w14:paraId="29F826D6" w14:textId="77777777" w:rsidR="00100177" w:rsidRDefault="00100177" w:rsidP="00100177">
      <w:pPr>
        <w:pStyle w:val="ListParagraph"/>
        <w:numPr>
          <w:ilvl w:val="1"/>
          <w:numId w:val="2"/>
        </w:numPr>
      </w:pPr>
      <w:r>
        <w:lastRenderedPageBreak/>
        <w:t xml:space="preserve">u čijim je prospektima jasno definirano da je predmetni fond klasificiran kao kratkoročni obveznički fond ili </w:t>
      </w:r>
    </w:p>
    <w:p w14:paraId="2FF6A86D" w14:textId="21B4D6B3" w:rsidR="00100177" w:rsidRDefault="00485FF7" w:rsidP="00100177">
      <w:pPr>
        <w:pStyle w:val="ListParagraph"/>
        <w:numPr>
          <w:ilvl w:val="1"/>
          <w:numId w:val="2"/>
        </w:numPr>
      </w:pPr>
      <w:r>
        <w:t xml:space="preserve">čija strategija ulaganja </w:t>
      </w:r>
      <w:r w:rsidR="00100177">
        <w:t xml:space="preserve">upućuje </w:t>
      </w:r>
      <w:r w:rsidR="00EC66BC">
        <w:t xml:space="preserve">na to </w:t>
      </w:r>
      <w:r w:rsidR="00100177">
        <w:t xml:space="preserve">da </w:t>
      </w:r>
      <w:r w:rsidR="00EC66BC">
        <w:t>je</w:t>
      </w:r>
      <w:r w:rsidR="00100177">
        <w:t xml:space="preserve"> predmetni fond </w:t>
      </w:r>
      <w:r w:rsidR="00EC66BC">
        <w:t xml:space="preserve">moguće </w:t>
      </w:r>
      <w:r w:rsidR="00100177">
        <w:t>klasificira</w:t>
      </w:r>
      <w:r w:rsidR="00EC66BC">
        <w:t>ti</w:t>
      </w:r>
      <w:r w:rsidR="00100177">
        <w:t xml:space="preserve"> kao kratkoročni obveznički fond.</w:t>
      </w:r>
    </w:p>
    <w:p w14:paraId="24A8186B" w14:textId="39EDC158" w:rsidR="00100177" w:rsidRPr="005376AE" w:rsidRDefault="00100177" w:rsidP="00100177">
      <w:pPr>
        <w:pStyle w:val="Heading1"/>
        <w:ind w:left="360" w:hanging="360"/>
      </w:pPr>
      <w:r>
        <w:t xml:space="preserve">Pokazatelji </w:t>
      </w:r>
      <w:r w:rsidRPr="00B634EB">
        <w:t xml:space="preserve">koji upućuju na potencijalno poslovanje </w:t>
      </w:r>
      <w:r>
        <w:t xml:space="preserve">ne-novčanih fondova u skladu s </w:t>
      </w:r>
      <w:r w:rsidR="00EC66BC">
        <w:t>definicijom novčanih fondova</w:t>
      </w:r>
    </w:p>
    <w:p w14:paraId="5FBD8AE6" w14:textId="77777777" w:rsidR="00100177" w:rsidRPr="00501EBA" w:rsidRDefault="00100177" w:rsidP="00100177">
      <w:pPr>
        <w:pStyle w:val="Heading2"/>
      </w:pPr>
      <w:r w:rsidRPr="00501EBA">
        <w:t>Pokazatelj ulaganja u kratkoročnu imovinu</w:t>
      </w:r>
    </w:p>
    <w:p w14:paraId="14AC1CD8" w14:textId="08E5662C" w:rsidR="00100177" w:rsidRPr="00501EBA" w:rsidRDefault="00345DA6" w:rsidP="00100177">
      <w:r>
        <w:t xml:space="preserve">Za utvrđivanje pokazatelja ulaganja u kratkoročnu imovinu Hanfa koristi mjeru </w:t>
      </w:r>
      <w:r>
        <w:rPr>
          <w:b/>
          <w:i/>
          <w:u w:val="single"/>
        </w:rPr>
        <w:t>p</w:t>
      </w:r>
      <w:r w:rsidR="00100177" w:rsidRPr="00501EBA">
        <w:rPr>
          <w:b/>
          <w:i/>
          <w:u w:val="single"/>
        </w:rPr>
        <w:t>onderirano prosječno trajanje</w:t>
      </w:r>
      <w:r w:rsidR="00100177" w:rsidRPr="00501EBA">
        <w:t xml:space="preserve"> (eng. </w:t>
      </w:r>
      <w:r w:rsidR="00100177" w:rsidRPr="00485FF7">
        <w:rPr>
          <w:i/>
        </w:rPr>
        <w:t>Weighted Average Life</w:t>
      </w:r>
      <w:r w:rsidR="00100177" w:rsidRPr="00501EBA">
        <w:t>, dalje: WAL)</w:t>
      </w:r>
      <w:r>
        <w:t>. WAL</w:t>
      </w:r>
      <w:r w:rsidR="00100177" w:rsidRPr="00501EBA">
        <w:t xml:space="preserve"> </w:t>
      </w:r>
      <w:r w:rsidRPr="00501EBA">
        <w:t xml:space="preserve">se </w:t>
      </w:r>
      <w:r w:rsidR="00100177" w:rsidRPr="00501EBA">
        <w:t>računa kao ponderirano prosječno preostalo razdoblje do ugovorenog dospijeća za svu imovinu fonda</w:t>
      </w:r>
      <w:r w:rsidR="00501EBA">
        <w:t xml:space="preserve"> s dospijećem</w:t>
      </w:r>
      <w:r w:rsidR="00100177" w:rsidRPr="00501EBA">
        <w:t>, ponderirano udjelom svake pojedine imovine fonda</w:t>
      </w:r>
      <w:r w:rsidR="00501EBA">
        <w:t xml:space="preserve"> s dospijećem</w:t>
      </w:r>
      <w:r w:rsidR="00100177" w:rsidRPr="00501EBA">
        <w:t xml:space="preserve"> u ukupnoj imovini fonda</w:t>
      </w:r>
      <w:r w:rsidR="00501EBA">
        <w:t xml:space="preserve"> s dospijećem</w:t>
      </w:r>
      <w:r w:rsidR="00100177" w:rsidRPr="00501EBA">
        <w:t>.</w:t>
      </w:r>
    </w:p>
    <w:p w14:paraId="097EA36F" w14:textId="77777777" w:rsidR="00100177" w:rsidRDefault="00100177" w:rsidP="00100177">
      <w:pPr>
        <w:pStyle w:val="Heading2"/>
      </w:pPr>
      <w:r>
        <w:t>Pokazatelj nuđenja i ostvarivanja prinosa u skladu sa stopama na tržištu novca</w:t>
      </w:r>
    </w:p>
    <w:p w14:paraId="5A5081B6" w14:textId="35EAE9D1" w:rsidR="00100177" w:rsidRDefault="002D6461" w:rsidP="00100177">
      <w:r>
        <w:t>S</w:t>
      </w:r>
      <w:r w:rsidR="00100177">
        <w:t>ukladno Uredbi o novčanim fondovima</w:t>
      </w:r>
      <w:r w:rsidR="00EC66BC">
        <w:t>,</w:t>
      </w:r>
      <w:r w:rsidR="00100177">
        <w:t xml:space="preserve"> cilj nuđenja prinosa u skladu sa stopama na tržištu novca potrebno</w:t>
      </w:r>
      <w:r w:rsidR="00EC66BC">
        <w:t xml:space="preserve"> je</w:t>
      </w:r>
      <w:r w:rsidR="00100177">
        <w:t xml:space="preserve"> promatrati u širem smislu, odnosno prinosi ne trebaju biti savršeno usklađ</w:t>
      </w:r>
      <w:r>
        <w:t>eni sa stopama na tržištu novca. U tom smislu,</w:t>
      </w:r>
      <w:r w:rsidR="00100177">
        <w:t xml:space="preserve"> Hanfa u sklopu svojih redovitih kvantitativnih analiza nastoji utvrditi je li kod fondova koji su predmet kvantitativnih analiza aktiviran pokazatelj koji upućuje na potencijalno nuđenje i ostvarivanje prinosa u skladu sa stopama na tržištu novca. </w:t>
      </w:r>
    </w:p>
    <w:p w14:paraId="5D8CF949" w14:textId="7AE248A5" w:rsidR="00100177" w:rsidRDefault="006672B8" w:rsidP="00923209">
      <w:pPr>
        <w:pStyle w:val="Heading3"/>
      </w:pPr>
      <w:r>
        <w:t>Referentne</w:t>
      </w:r>
      <w:r w:rsidR="00100177">
        <w:t xml:space="preserve"> vrijednosti</w:t>
      </w:r>
    </w:p>
    <w:p w14:paraId="04443B04" w14:textId="5D4ECC07" w:rsidR="00100177" w:rsidRDefault="00100177" w:rsidP="00100177">
      <w:r>
        <w:t xml:space="preserve">S ciljem utvrđivanja je li aktiviran pokazatelj koji upućuje na potencijalno nuđenje i ostvarivanje prinosa u skladu sa stopama na tržištu novca, Hanfa </w:t>
      </w:r>
      <w:r w:rsidR="00662484">
        <w:t>utvrđuje</w:t>
      </w:r>
      <w:r>
        <w:t xml:space="preserve"> </w:t>
      </w:r>
      <w:r w:rsidR="00345DA6">
        <w:t xml:space="preserve">određene </w:t>
      </w:r>
      <w:r>
        <w:t>stope na nov</w:t>
      </w:r>
      <w:r w:rsidR="004D6D68">
        <w:t>č</w:t>
      </w:r>
      <w:r>
        <w:t>a</w:t>
      </w:r>
      <w:r w:rsidR="004D6D68">
        <w:t>nom tržištu u Republici Hrvatskoj, Europskoj Uniji i Sjedinjenim Američkim Državama</w:t>
      </w:r>
      <w:r>
        <w:t xml:space="preserve"> koje koristi kao referentne vrijednosti</w:t>
      </w:r>
      <w:r w:rsidR="008169D9">
        <w:t xml:space="preserve"> stopa na tržištu novca</w:t>
      </w:r>
      <w:r w:rsidR="00345DA6">
        <w:t>.</w:t>
      </w:r>
    </w:p>
    <w:p w14:paraId="5FD66A2F" w14:textId="4EB084E1" w:rsidR="006672B8" w:rsidRPr="006672B8" w:rsidRDefault="00345DA6" w:rsidP="006672B8">
      <w:pPr>
        <w:pStyle w:val="Heading3"/>
      </w:pPr>
      <w:r>
        <w:t>Mjere korištene za</w:t>
      </w:r>
      <w:r w:rsidR="006672B8">
        <w:t xml:space="preserve"> </w:t>
      </w:r>
      <w:r>
        <w:t xml:space="preserve">utvrđivanje </w:t>
      </w:r>
      <w:r w:rsidR="006672B8">
        <w:t>p</w:t>
      </w:r>
      <w:r w:rsidR="006672B8" w:rsidRPr="006672B8">
        <w:t>okazatelj</w:t>
      </w:r>
      <w:r>
        <w:t>a</w:t>
      </w:r>
      <w:r w:rsidR="006672B8" w:rsidRPr="006672B8">
        <w:t xml:space="preserve"> nuđenja i ostvarivanja prinosa u skladu sa stopama na tržištu novca</w:t>
      </w:r>
    </w:p>
    <w:p w14:paraId="763C7F65" w14:textId="476DF3E4" w:rsidR="007B7D65" w:rsidRDefault="007B7D65" w:rsidP="002D6461">
      <w:r>
        <w:t>Za</w:t>
      </w:r>
      <w:r w:rsidR="00EC66BC">
        <w:t xml:space="preserve"> utvrđivanj</w:t>
      </w:r>
      <w:r>
        <w:t>e</w:t>
      </w:r>
      <w:r w:rsidR="00EC66BC">
        <w:t xml:space="preserve"> pokazatelja koji upućuje na to da je </w:t>
      </w:r>
      <w:r w:rsidR="00EC66BC" w:rsidRPr="00EC66BC">
        <w:t>nuđenj</w:t>
      </w:r>
      <w:r w:rsidR="00EC66BC">
        <w:t>e</w:t>
      </w:r>
      <w:r w:rsidR="00662484">
        <w:t xml:space="preserve"> i ostvarivanje</w:t>
      </w:r>
      <w:r w:rsidR="00EC66BC" w:rsidRPr="00EC66BC">
        <w:t xml:space="preserve"> prinosa u skladu sa stopama na tržištu novca</w:t>
      </w:r>
      <w:r w:rsidR="008169D9">
        <w:t>,</w:t>
      </w:r>
      <w:r>
        <w:t xml:space="preserve"> Hanfa koristi sljedeće mjere:</w:t>
      </w:r>
    </w:p>
    <w:p w14:paraId="31308384" w14:textId="77777777" w:rsidR="007B7D65" w:rsidRPr="004543B1" w:rsidRDefault="007B7D65" w:rsidP="007B7D65">
      <w:pPr>
        <w:pStyle w:val="ListParagraph"/>
        <w:numPr>
          <w:ilvl w:val="0"/>
          <w:numId w:val="13"/>
        </w:numPr>
      </w:pPr>
      <w:r w:rsidRPr="004543B1">
        <w:rPr>
          <w:i/>
        </w:rPr>
        <w:t>Tracking Error</w:t>
      </w:r>
      <w:r w:rsidRPr="004543B1">
        <w:t xml:space="preserve"> i </w:t>
      </w:r>
    </w:p>
    <w:p w14:paraId="09E77ABF" w14:textId="685B7399" w:rsidR="000D6BA9" w:rsidRDefault="008F1C77" w:rsidP="007B7D65">
      <w:pPr>
        <w:pStyle w:val="ListParagraph"/>
        <w:numPr>
          <w:ilvl w:val="0"/>
          <w:numId w:val="13"/>
        </w:numPr>
      </w:pPr>
      <w:r w:rsidRPr="004543B1">
        <w:rPr>
          <w:i/>
        </w:rPr>
        <w:t>Tracking Error V</w:t>
      </w:r>
      <w:r w:rsidR="007B7D65" w:rsidRPr="004543B1">
        <w:rPr>
          <w:i/>
        </w:rPr>
        <w:t>olatility</w:t>
      </w:r>
      <w:r w:rsidR="007B7D65" w:rsidRPr="004543B1">
        <w:t>.</w:t>
      </w:r>
    </w:p>
    <w:p w14:paraId="3AB5C609" w14:textId="21B15F59" w:rsidR="00DE493C" w:rsidRDefault="00DE493C" w:rsidP="00DE493C">
      <w:r w:rsidRPr="00DE493C">
        <w:rPr>
          <w:i/>
        </w:rPr>
        <w:t>Tracking Error</w:t>
      </w:r>
      <w:r>
        <w:t xml:space="preserve"> (TE) se računa kao razlika između ostvarenog godišnjeg prinosa fonda i referentne vrijednosti iz točke 3.2.1., odnosno</w:t>
      </w:r>
    </w:p>
    <w:p w14:paraId="2F979C39" w14:textId="4D11B242" w:rsidR="00DE493C" w:rsidRDefault="00DE493C" w:rsidP="00DE493C">
      <m:oMathPara>
        <m:oMath>
          <m:r>
            <w:rPr>
              <w:rFonts w:ascii="Cambria Math" w:hAnsi="Cambria Math"/>
            </w:rPr>
            <w:lastRenderedPageBreak/>
            <m:t>TE=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f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b</m:t>
              </m:r>
            </m:sub>
          </m:sSub>
        </m:oMath>
      </m:oMathPara>
    </w:p>
    <w:p w14:paraId="0DF1C088" w14:textId="77777777" w:rsidR="00DE493C" w:rsidRDefault="00DE493C" w:rsidP="00DE493C">
      <w:r>
        <w:t>gdje je</w:t>
      </w:r>
    </w:p>
    <w:p w14:paraId="522D0812" w14:textId="77777777" w:rsidR="00DE493C" w:rsidRPr="00DC0036" w:rsidRDefault="00312882" w:rsidP="00DE493C"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</m:oMath>
      <w:r w:rsidR="00DE493C">
        <w:rPr>
          <w:rFonts w:eastAsiaTheme="minorEastAsia"/>
        </w:rPr>
        <w:t xml:space="preserve"> </w:t>
      </w:r>
      <w:r w:rsidR="00DE493C">
        <w:t xml:space="preserve">ostvareni godišnji </w:t>
      </w:r>
      <w:r w:rsidR="00DE493C">
        <w:rPr>
          <w:rFonts w:eastAsiaTheme="minorEastAsia"/>
        </w:rPr>
        <w:t>prinos fonda</w:t>
      </w:r>
      <w:r w:rsidR="00DE493C" w:rsidRPr="006A713E">
        <w:rPr>
          <w:rFonts w:eastAsiaTheme="minorEastAsia"/>
        </w:rPr>
        <w:t xml:space="preserve"> </w:t>
      </w:r>
      <w:r w:rsidR="00DE493C">
        <w:rPr>
          <w:rFonts w:eastAsiaTheme="minorEastAsia"/>
        </w:rPr>
        <w:t>na određeni dan, a</w:t>
      </w:r>
    </w:p>
    <w:p w14:paraId="249B6F5C" w14:textId="77777777" w:rsidR="00DE493C" w:rsidRDefault="00312882" w:rsidP="00DE493C">
      <w:pPr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</m:oMath>
      <w:r w:rsidR="00DE493C">
        <w:rPr>
          <w:rFonts w:eastAsiaTheme="minorEastAsia"/>
        </w:rPr>
        <w:t xml:space="preserve"> referentna vrijednost iz točke 3.2.1.</w:t>
      </w:r>
      <w:r w:rsidR="00DE493C" w:rsidRPr="006A713E">
        <w:rPr>
          <w:rFonts w:eastAsiaTheme="minorEastAsia"/>
        </w:rPr>
        <w:t xml:space="preserve"> </w:t>
      </w:r>
      <w:r w:rsidR="00DE493C">
        <w:rPr>
          <w:rFonts w:eastAsiaTheme="minorEastAsia"/>
        </w:rPr>
        <w:t>na određeni dan.</w:t>
      </w:r>
    </w:p>
    <w:p w14:paraId="12BE7D28" w14:textId="5A5F816F" w:rsidR="00DE493C" w:rsidRDefault="00DE493C" w:rsidP="00DE493C">
      <w:r w:rsidRPr="00DE493C">
        <w:rPr>
          <w:i/>
        </w:rPr>
        <w:t>Tracking Error Volatility</w:t>
      </w:r>
      <w:r>
        <w:t xml:space="preserve"> (TEV) se računa kao standardna devijacija </w:t>
      </w:r>
      <w:r w:rsidRPr="00DE493C">
        <w:rPr>
          <w:i/>
        </w:rPr>
        <w:t>Tracking Error</w:t>
      </w:r>
      <w:r>
        <w:t>-a na podacima za određeni period, odnosno</w:t>
      </w:r>
    </w:p>
    <w:p w14:paraId="2126B7FD" w14:textId="77777777" w:rsidR="00DE493C" w:rsidRPr="00066891" w:rsidRDefault="00DE493C" w:rsidP="00DE493C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TEV= σ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f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b</m:t>
                  </m:r>
                </m:sub>
              </m:sSub>
            </m:e>
          </m:d>
        </m:oMath>
      </m:oMathPara>
    </w:p>
    <w:p w14:paraId="656D268C" w14:textId="77777777" w:rsidR="00DE493C" w:rsidRDefault="00DE493C" w:rsidP="00DE493C">
      <w:r>
        <w:t>gdje je</w:t>
      </w:r>
    </w:p>
    <w:p w14:paraId="276CA732" w14:textId="77777777" w:rsidR="00DE493C" w:rsidRPr="00DC0036" w:rsidRDefault="00312882" w:rsidP="00DE493C"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</m:oMath>
      <w:r w:rsidR="00DE493C">
        <w:rPr>
          <w:rFonts w:eastAsiaTheme="minorEastAsia"/>
        </w:rPr>
        <w:t xml:space="preserve"> </w:t>
      </w:r>
      <w:r w:rsidR="00DE493C">
        <w:t xml:space="preserve">ostvareni godišnji </w:t>
      </w:r>
      <w:r w:rsidR="00DE493C">
        <w:rPr>
          <w:rFonts w:eastAsiaTheme="minorEastAsia"/>
        </w:rPr>
        <w:t>prinos fonda</w:t>
      </w:r>
      <w:r w:rsidR="00DE493C" w:rsidRPr="004543B1">
        <w:rPr>
          <w:rFonts w:eastAsiaTheme="minorEastAsia"/>
        </w:rPr>
        <w:t xml:space="preserve"> </w:t>
      </w:r>
      <w:r w:rsidR="00DE493C">
        <w:rPr>
          <w:rFonts w:eastAsiaTheme="minorEastAsia"/>
        </w:rPr>
        <w:t>na određeni dan, a</w:t>
      </w:r>
    </w:p>
    <w:p w14:paraId="0E56F6F1" w14:textId="77777777" w:rsidR="00DE493C" w:rsidRDefault="00312882" w:rsidP="00DE493C">
      <w:pPr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</m:oMath>
      <w:r w:rsidR="00DE493C">
        <w:rPr>
          <w:rFonts w:eastAsiaTheme="minorEastAsia"/>
        </w:rPr>
        <w:t xml:space="preserve"> referentna vrijednost iz točke 3.2.1.</w:t>
      </w:r>
      <w:r w:rsidR="00DE493C" w:rsidRPr="004543B1">
        <w:rPr>
          <w:rFonts w:eastAsiaTheme="minorEastAsia"/>
        </w:rPr>
        <w:t xml:space="preserve"> </w:t>
      </w:r>
      <w:r w:rsidR="00DE493C">
        <w:rPr>
          <w:rFonts w:eastAsiaTheme="minorEastAsia"/>
        </w:rPr>
        <w:t>za određeni dan.</w:t>
      </w:r>
    </w:p>
    <w:p w14:paraId="73BF6EDF" w14:textId="113EBB93" w:rsidR="00DE493C" w:rsidRDefault="00DE493C" w:rsidP="00DE493C">
      <w:r>
        <w:t>U slučajevima kad</w:t>
      </w:r>
      <w:r w:rsidR="00A25602">
        <w:t>a</w:t>
      </w:r>
      <w:r>
        <w:t xml:space="preserve"> ne postoje podaci o ostvarenom godišnjem prinosu fonda</w:t>
      </w:r>
      <w:r>
        <w:rPr>
          <w:rStyle w:val="FootnoteReference"/>
        </w:rPr>
        <w:footnoteReference w:id="3"/>
      </w:r>
      <w:r>
        <w:t xml:space="preserve">, Hanfa će za izračun </w:t>
      </w:r>
      <w:r w:rsidRPr="00DE493C">
        <w:rPr>
          <w:i/>
        </w:rPr>
        <w:t>Tracking Error</w:t>
      </w:r>
      <w:r>
        <w:t xml:space="preserve">-a i </w:t>
      </w:r>
      <w:r w:rsidRPr="00DE493C">
        <w:rPr>
          <w:i/>
        </w:rPr>
        <w:t>Tracking Error Volatility</w:t>
      </w:r>
      <w:r>
        <w:t xml:space="preserve">-a umjesto ostvarenog godišnjeg prinosa fonda koristiti procijenjeni godišnji prinos fonda </w:t>
      </w:r>
      <w:r>
        <w:rPr>
          <w:rFonts w:eastAsiaTheme="minorEastAsia"/>
        </w:rPr>
        <w:t>(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f</m:t>
            </m:r>
          </m:sub>
          <m:sup>
            <m:r>
              <w:rPr>
                <w:rFonts w:ascii="Cambria Math" w:eastAsiaTheme="minorEastAsia" w:hAnsi="Cambria Math"/>
              </w:rPr>
              <m:t>*</m:t>
            </m:r>
          </m:sup>
        </m:sSubSup>
        <m:r>
          <w:rPr>
            <w:rFonts w:ascii="Cambria Math" w:eastAsiaTheme="minorEastAsia" w:hAnsi="Cambria Math"/>
          </w:rPr>
          <m:t xml:space="preserve">), </m:t>
        </m:r>
      </m:oMath>
      <w:r>
        <w:t xml:space="preserve">koji predstavlja anualizirani ostvareni dnevni prinos fonda, odnosno </w:t>
      </w:r>
    </w:p>
    <w:p w14:paraId="5DA63CE9" w14:textId="77777777" w:rsidR="00DE493C" w:rsidRPr="000852C8" w:rsidRDefault="00312882" w:rsidP="00DE493C">
      <w:pPr>
        <w:rPr>
          <w:rFonts w:eastAsiaTheme="minorEastAsia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f</m:t>
              </m:r>
            </m:sub>
            <m:sup>
              <m:r>
                <w:rPr>
                  <w:rFonts w:ascii="Cambria Math" w:eastAsiaTheme="minorEastAsia" w:hAnsi="Cambria Math"/>
                </w:rPr>
                <m:t>*</m:t>
              </m:r>
            </m:sup>
          </m:sSub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f,d</m:t>
                      </m:r>
                    </m:sub>
                  </m:sSub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365</m:t>
              </m:r>
            </m:sup>
          </m:sSup>
          <m:r>
            <w:rPr>
              <w:rFonts w:ascii="Cambria Math" w:eastAsiaTheme="minorEastAsia" w:hAnsi="Cambria Math"/>
            </w:rPr>
            <m:t>-1</m:t>
          </m:r>
        </m:oMath>
      </m:oMathPara>
    </w:p>
    <w:p w14:paraId="4D7B8E16" w14:textId="77777777" w:rsidR="00DE493C" w:rsidRDefault="00DE493C" w:rsidP="00DE493C">
      <w:pPr>
        <w:rPr>
          <w:rFonts w:eastAsiaTheme="minorEastAsia"/>
        </w:rPr>
      </w:pPr>
      <w:r>
        <w:rPr>
          <w:rFonts w:eastAsiaTheme="minorEastAsia"/>
        </w:rPr>
        <w:t>gdje je</w:t>
      </w:r>
    </w:p>
    <w:p w14:paraId="1806BADC" w14:textId="77777777" w:rsidR="00DE493C" w:rsidRDefault="00312882" w:rsidP="00DE493C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f,d</m:t>
            </m:r>
          </m:sub>
        </m:sSub>
      </m:oMath>
      <w:r w:rsidR="00DE493C">
        <w:rPr>
          <w:rFonts w:eastAsiaTheme="minorEastAsia"/>
        </w:rPr>
        <w:t xml:space="preserve"> ostvareni dnevni prinos fonda</w:t>
      </w:r>
      <w:r w:rsidR="00DE493C" w:rsidRPr="004543B1">
        <w:rPr>
          <w:rFonts w:eastAsiaTheme="minorEastAsia"/>
        </w:rPr>
        <w:t xml:space="preserve"> </w:t>
      </w:r>
      <w:r w:rsidR="00DE493C">
        <w:rPr>
          <w:rFonts w:eastAsiaTheme="minorEastAsia"/>
        </w:rPr>
        <w:t>na određeni dan, a</w:t>
      </w:r>
    </w:p>
    <w:p w14:paraId="553B4DBB" w14:textId="4E8706B2" w:rsidR="00DE493C" w:rsidRDefault="00312882" w:rsidP="00DE493C">
      <w:pPr>
        <w:rPr>
          <w:rFonts w:eastAsiaTheme="minorEastAsia"/>
        </w:rPr>
      </w:pP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f</m:t>
            </m:r>
          </m:sub>
          <m:sup>
            <m:r>
              <w:rPr>
                <w:rFonts w:ascii="Cambria Math" w:eastAsiaTheme="minorEastAsia" w:hAnsi="Cambria Math"/>
              </w:rPr>
              <m:t>*</m:t>
            </m:r>
          </m:sup>
        </m:sSubSup>
      </m:oMath>
      <w:r w:rsidR="00DE493C">
        <w:rPr>
          <w:rFonts w:eastAsiaTheme="minorEastAsia"/>
        </w:rPr>
        <w:t xml:space="preserve"> procijenjeni godišnji prinos fonda na određeni dan.</w:t>
      </w:r>
    </w:p>
    <w:p w14:paraId="51FD4A6F" w14:textId="3BADBC83" w:rsidR="00066891" w:rsidRDefault="004E16E2" w:rsidP="004E16E2">
      <w:pPr>
        <w:pStyle w:val="Heading1"/>
      </w:pPr>
      <w:r>
        <w:t>Aktivnosti Hanfe</w:t>
      </w:r>
    </w:p>
    <w:p w14:paraId="22CA3190" w14:textId="1D7DFFD6" w:rsidR="001B640C" w:rsidRDefault="001B640C" w:rsidP="00965E12">
      <w:r>
        <w:t>U</w:t>
      </w:r>
      <w:r w:rsidR="00A25602">
        <w:t xml:space="preserve"> svojim nadzornim aktivnostima </w:t>
      </w:r>
      <w:r>
        <w:t>Hanfa primarno</w:t>
      </w:r>
      <w:r w:rsidR="00A25602">
        <w:t xml:space="preserve"> </w:t>
      </w:r>
      <w:r>
        <w:t>(</w:t>
      </w:r>
      <w:r w:rsidR="00A25602">
        <w:t xml:space="preserve">ali ne i </w:t>
      </w:r>
      <w:r>
        <w:t>isključivo)</w:t>
      </w:r>
      <w:r w:rsidR="00A25602">
        <w:t xml:space="preserve"> koristi </w:t>
      </w:r>
      <w:r>
        <w:t xml:space="preserve">gore definirane pokazatelje </w:t>
      </w:r>
      <w:r w:rsidR="00A25602" w:rsidRPr="00A25602">
        <w:t>koji upućuju na potencijalno poslovanje ne-novčanih fondova u skladu s definicijom novčanih fondova</w:t>
      </w:r>
      <w:r>
        <w:t>.</w:t>
      </w:r>
      <w:r w:rsidR="00A25602">
        <w:t xml:space="preserve"> </w:t>
      </w:r>
    </w:p>
    <w:p w14:paraId="5CEB0A4C" w14:textId="41DC2EB7" w:rsidR="00965E12" w:rsidRDefault="00320EBE" w:rsidP="00965E12">
      <w:r>
        <w:t>U slučaju aktiviranih pokazatelja, Hanfa pojačano nadzire poslovanje fonda</w:t>
      </w:r>
      <w:r w:rsidR="00E5429D">
        <w:t>, a a</w:t>
      </w:r>
      <w:r w:rsidR="002661F0">
        <w:t>ko</w:t>
      </w:r>
      <w:r w:rsidR="00965E12">
        <w:t xml:space="preserve"> </w:t>
      </w:r>
      <w:r w:rsidR="00345DA6">
        <w:t xml:space="preserve">nakon toga </w:t>
      </w:r>
      <w:r w:rsidR="00965E12">
        <w:t xml:space="preserve">Hanfa utvrdi da fond posluje u skladu s definicijom </w:t>
      </w:r>
      <w:r w:rsidR="00965E12" w:rsidRPr="00965E12">
        <w:t>novčanog fonda iz Uredbe o novčanim fondovima</w:t>
      </w:r>
      <w:r w:rsidR="00965E12">
        <w:t xml:space="preserve">, društvo za upravljanje dužno je bez odgode podnijeti zahtjev za izdavanje odobrenja za rad u skladu s </w:t>
      </w:r>
      <w:r w:rsidR="00965E12" w:rsidRPr="00965E12">
        <w:t>Uredb</w:t>
      </w:r>
      <w:r w:rsidR="00965E12">
        <w:t>om</w:t>
      </w:r>
      <w:r w:rsidR="00965E12" w:rsidRPr="00965E12">
        <w:t xml:space="preserve"> o novčanim fondovima</w:t>
      </w:r>
      <w:r w:rsidR="00965E12">
        <w:t xml:space="preserve"> i </w:t>
      </w:r>
      <w:r w:rsidR="00965E12" w:rsidRPr="00965E12">
        <w:t>Zakonom o provedbi Uredbe (EU) BR. 2017/1131 o novčanim fondovima</w:t>
      </w:r>
      <w:r w:rsidR="00965E12">
        <w:t>.</w:t>
      </w:r>
    </w:p>
    <w:p w14:paraId="542A1AA0" w14:textId="7A8EF152" w:rsidR="00AD242C" w:rsidRDefault="00AD242C" w:rsidP="00AD242C">
      <w:pPr>
        <w:pStyle w:val="Heading1"/>
      </w:pPr>
      <w:r>
        <w:lastRenderedPageBreak/>
        <w:t>Završne odredbe</w:t>
      </w:r>
    </w:p>
    <w:p w14:paraId="288BA2DA" w14:textId="4992F2BD" w:rsidR="00706667" w:rsidRDefault="00706667" w:rsidP="00AD242C">
      <w:r>
        <w:t>Hanfa preispituje m</w:t>
      </w:r>
      <w:r w:rsidR="00933010">
        <w:t>etodologiju</w:t>
      </w:r>
      <w:r w:rsidRPr="00706667">
        <w:t xml:space="preserve"> utvrđivanja pokazatelja koji upućuju na potencijalno poslovanje ne-novčanih fondova u skladu s definicijom novčanih fondova iz Uredbe </w:t>
      </w:r>
      <w:r>
        <w:t xml:space="preserve">o novčanim fondovima najmanje jednom godišnje te je po potrebi ažurira. </w:t>
      </w:r>
    </w:p>
    <w:p w14:paraId="35438696" w14:textId="294CD3AE" w:rsidR="00AD242C" w:rsidRPr="00AD242C" w:rsidRDefault="00AD242C" w:rsidP="00AD242C"/>
    <w:sectPr w:rsidR="00AD242C" w:rsidRPr="00AD242C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8674D1" w14:textId="77777777" w:rsidR="00AC184F" w:rsidRDefault="00AC184F" w:rsidP="00100177">
      <w:pPr>
        <w:spacing w:after="0" w:line="240" w:lineRule="auto"/>
      </w:pPr>
      <w:r>
        <w:separator/>
      </w:r>
    </w:p>
  </w:endnote>
  <w:endnote w:type="continuationSeparator" w:id="0">
    <w:p w14:paraId="70A117C6" w14:textId="77777777" w:rsidR="00AC184F" w:rsidRDefault="00AC184F" w:rsidP="00100177">
      <w:pPr>
        <w:spacing w:after="0" w:line="240" w:lineRule="auto"/>
      </w:pPr>
      <w:r>
        <w:continuationSeparator/>
      </w:r>
    </w:p>
  </w:endnote>
  <w:endnote w:type="continuationNotice" w:id="1">
    <w:p w14:paraId="50DEBFB9" w14:textId="77777777" w:rsidR="00AC184F" w:rsidRDefault="00AC18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410085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0BA64117" w14:textId="5487823A" w:rsidR="008B3E70" w:rsidRPr="001B7B71" w:rsidRDefault="008B3E70">
        <w:pPr>
          <w:pStyle w:val="Footer"/>
          <w:jc w:val="right"/>
          <w:rPr>
            <w:sz w:val="16"/>
            <w:szCs w:val="16"/>
          </w:rPr>
        </w:pPr>
        <w:r w:rsidRPr="001B7B71">
          <w:rPr>
            <w:sz w:val="16"/>
            <w:szCs w:val="16"/>
          </w:rPr>
          <w:fldChar w:fldCharType="begin"/>
        </w:r>
        <w:r w:rsidRPr="001B7B71">
          <w:rPr>
            <w:sz w:val="16"/>
            <w:szCs w:val="16"/>
          </w:rPr>
          <w:instrText xml:space="preserve"> PAGE   \* MERGEFORMAT </w:instrText>
        </w:r>
        <w:r w:rsidRPr="001B7B71">
          <w:rPr>
            <w:sz w:val="16"/>
            <w:szCs w:val="16"/>
          </w:rPr>
          <w:fldChar w:fldCharType="separate"/>
        </w:r>
        <w:r w:rsidR="00312882">
          <w:rPr>
            <w:noProof/>
            <w:sz w:val="16"/>
            <w:szCs w:val="16"/>
          </w:rPr>
          <w:t>1</w:t>
        </w:r>
        <w:r w:rsidRPr="001B7B71">
          <w:rPr>
            <w:noProof/>
            <w:sz w:val="16"/>
            <w:szCs w:val="16"/>
          </w:rPr>
          <w:fldChar w:fldCharType="end"/>
        </w:r>
      </w:p>
    </w:sdtContent>
  </w:sdt>
  <w:p w14:paraId="041BC1DC" w14:textId="77777777" w:rsidR="008B3E70" w:rsidRDefault="008B3E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5CF9AA" w14:textId="77777777" w:rsidR="00AC184F" w:rsidRDefault="00AC184F" w:rsidP="00100177">
      <w:pPr>
        <w:spacing w:after="0" w:line="240" w:lineRule="auto"/>
      </w:pPr>
      <w:r>
        <w:separator/>
      </w:r>
    </w:p>
  </w:footnote>
  <w:footnote w:type="continuationSeparator" w:id="0">
    <w:p w14:paraId="2D1F1145" w14:textId="77777777" w:rsidR="00AC184F" w:rsidRDefault="00AC184F" w:rsidP="00100177">
      <w:pPr>
        <w:spacing w:after="0" w:line="240" w:lineRule="auto"/>
      </w:pPr>
      <w:r>
        <w:continuationSeparator/>
      </w:r>
    </w:p>
  </w:footnote>
  <w:footnote w:type="continuationNotice" w:id="1">
    <w:p w14:paraId="6E1AF10E" w14:textId="77777777" w:rsidR="00AC184F" w:rsidRDefault="00AC184F">
      <w:pPr>
        <w:spacing w:after="0" w:line="240" w:lineRule="auto"/>
      </w:pPr>
    </w:p>
  </w:footnote>
  <w:footnote w:id="2">
    <w:p w14:paraId="785896BF" w14:textId="256CA96A" w:rsidR="008B3E70" w:rsidRPr="00534864" w:rsidRDefault="008B3E70">
      <w:pPr>
        <w:pStyle w:val="FootnoteText"/>
        <w:rPr>
          <w:sz w:val="16"/>
          <w:szCs w:val="16"/>
        </w:rPr>
      </w:pPr>
      <w:r w:rsidRPr="00534864">
        <w:rPr>
          <w:rStyle w:val="FootnoteReference"/>
          <w:sz w:val="16"/>
          <w:szCs w:val="16"/>
        </w:rPr>
        <w:footnoteRef/>
      </w:r>
      <w:r w:rsidRPr="00534864">
        <w:rPr>
          <w:sz w:val="16"/>
          <w:szCs w:val="16"/>
        </w:rPr>
        <w:t xml:space="preserve"> </w:t>
      </w:r>
      <w:r>
        <w:rPr>
          <w:sz w:val="16"/>
          <w:szCs w:val="16"/>
        </w:rPr>
        <w:t>Sukladno članku 2. Uredbe o novčanim fondovima, kratkoroč</w:t>
      </w:r>
      <w:r w:rsidRPr="00534864">
        <w:rPr>
          <w:sz w:val="16"/>
          <w:szCs w:val="16"/>
        </w:rPr>
        <w:t xml:space="preserve">na imovina </w:t>
      </w:r>
      <w:r>
        <w:rPr>
          <w:sz w:val="16"/>
          <w:szCs w:val="16"/>
        </w:rPr>
        <w:t>definira se kao financijska imovina č</w:t>
      </w:r>
      <w:r w:rsidRPr="00534864">
        <w:rPr>
          <w:sz w:val="16"/>
          <w:szCs w:val="16"/>
        </w:rPr>
        <w:t>iji preostali rok do dospijeća nije dulji od dvije godine</w:t>
      </w:r>
      <w:r>
        <w:rPr>
          <w:sz w:val="16"/>
          <w:szCs w:val="16"/>
        </w:rPr>
        <w:t>.</w:t>
      </w:r>
    </w:p>
  </w:footnote>
  <w:footnote w:id="3">
    <w:p w14:paraId="1BA4386F" w14:textId="4A688FC3" w:rsidR="00DE493C" w:rsidRPr="00DE493C" w:rsidRDefault="00DE493C">
      <w:pPr>
        <w:pStyle w:val="FootnoteText"/>
        <w:rPr>
          <w:sz w:val="16"/>
          <w:szCs w:val="16"/>
        </w:rPr>
      </w:pPr>
      <w:r w:rsidRPr="00DE493C"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DE493C">
        <w:rPr>
          <w:sz w:val="16"/>
          <w:szCs w:val="16"/>
        </w:rPr>
        <w:t>Npr. u periodu od jedne godine od osnivanja fonda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115C7"/>
    <w:multiLevelType w:val="hybridMultilevel"/>
    <w:tmpl w:val="63948A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D404B"/>
    <w:multiLevelType w:val="hybridMultilevel"/>
    <w:tmpl w:val="8F6C8598"/>
    <w:lvl w:ilvl="0" w:tplc="CF769008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52D26"/>
    <w:multiLevelType w:val="hybridMultilevel"/>
    <w:tmpl w:val="868294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B05FC"/>
    <w:multiLevelType w:val="hybridMultilevel"/>
    <w:tmpl w:val="66BA7B8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54B97"/>
    <w:multiLevelType w:val="multilevel"/>
    <w:tmpl w:val="01B277A4"/>
    <w:styleLink w:val="Headings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5" w15:restartNumberingAfterBreak="0">
    <w:nsid w:val="2242775B"/>
    <w:multiLevelType w:val="multilevel"/>
    <w:tmpl w:val="643017EE"/>
    <w:lvl w:ilvl="0">
      <w:start w:val="1"/>
      <w:numFmt w:val="decimal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48C871A9"/>
    <w:multiLevelType w:val="hybridMultilevel"/>
    <w:tmpl w:val="58AE65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94764"/>
    <w:multiLevelType w:val="hybridMultilevel"/>
    <w:tmpl w:val="2610BB80"/>
    <w:lvl w:ilvl="0" w:tplc="CF769008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F47C89"/>
    <w:multiLevelType w:val="hybridMultilevel"/>
    <w:tmpl w:val="4BAEC5C2"/>
    <w:lvl w:ilvl="0" w:tplc="6C547324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B4A93"/>
    <w:multiLevelType w:val="hybridMultilevel"/>
    <w:tmpl w:val="3C5E62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57E30"/>
    <w:multiLevelType w:val="hybridMultilevel"/>
    <w:tmpl w:val="75EE9EB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1D1243"/>
    <w:multiLevelType w:val="hybridMultilevel"/>
    <w:tmpl w:val="9CCEF0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9D3B21"/>
    <w:multiLevelType w:val="hybridMultilevel"/>
    <w:tmpl w:val="A5ECE4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7"/>
  </w:num>
  <w:num w:numId="5">
    <w:abstractNumId w:val="1"/>
  </w:num>
  <w:num w:numId="6">
    <w:abstractNumId w:val="8"/>
  </w:num>
  <w:num w:numId="7">
    <w:abstractNumId w:val="11"/>
  </w:num>
  <w:num w:numId="8">
    <w:abstractNumId w:val="5"/>
  </w:num>
  <w:num w:numId="9">
    <w:abstractNumId w:val="5"/>
  </w:num>
  <w:num w:numId="10">
    <w:abstractNumId w:val="3"/>
  </w:num>
  <w:num w:numId="11">
    <w:abstractNumId w:val="10"/>
  </w:num>
  <w:num w:numId="12">
    <w:abstractNumId w:val="4"/>
  </w:num>
  <w:num w:numId="13">
    <w:abstractNumId w:val="0"/>
  </w:num>
  <w:num w:numId="14">
    <w:abstractNumId w:val="2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1B2"/>
    <w:rsid w:val="00023D47"/>
    <w:rsid w:val="00031BB5"/>
    <w:rsid w:val="000570F9"/>
    <w:rsid w:val="00064DE6"/>
    <w:rsid w:val="00066891"/>
    <w:rsid w:val="000752A0"/>
    <w:rsid w:val="00084F9F"/>
    <w:rsid w:val="000852C8"/>
    <w:rsid w:val="000B14AB"/>
    <w:rsid w:val="000B5A7F"/>
    <w:rsid w:val="000D3760"/>
    <w:rsid w:val="000D6BA9"/>
    <w:rsid w:val="000E04D7"/>
    <w:rsid w:val="000F61A5"/>
    <w:rsid w:val="00100177"/>
    <w:rsid w:val="00136C16"/>
    <w:rsid w:val="001B640C"/>
    <w:rsid w:val="001B7B71"/>
    <w:rsid w:val="001C5A73"/>
    <w:rsid w:val="001E65FC"/>
    <w:rsid w:val="002661F0"/>
    <w:rsid w:val="0027782A"/>
    <w:rsid w:val="002A1232"/>
    <w:rsid w:val="002D0252"/>
    <w:rsid w:val="002D6461"/>
    <w:rsid w:val="00312882"/>
    <w:rsid w:val="00320EBE"/>
    <w:rsid w:val="00333E17"/>
    <w:rsid w:val="00345DA6"/>
    <w:rsid w:val="00363F17"/>
    <w:rsid w:val="00384566"/>
    <w:rsid w:val="00387857"/>
    <w:rsid w:val="003A14B5"/>
    <w:rsid w:val="003A54E9"/>
    <w:rsid w:val="003A652B"/>
    <w:rsid w:val="003B70CD"/>
    <w:rsid w:val="003B7CC9"/>
    <w:rsid w:val="003E2FC8"/>
    <w:rsid w:val="00410290"/>
    <w:rsid w:val="004128FA"/>
    <w:rsid w:val="004543B1"/>
    <w:rsid w:val="00474B17"/>
    <w:rsid w:val="00485FF7"/>
    <w:rsid w:val="004A5180"/>
    <w:rsid w:val="004B6986"/>
    <w:rsid w:val="004D6D68"/>
    <w:rsid w:val="004E16E2"/>
    <w:rsid w:val="004E7B66"/>
    <w:rsid w:val="00501EBA"/>
    <w:rsid w:val="00534864"/>
    <w:rsid w:val="00552326"/>
    <w:rsid w:val="00552425"/>
    <w:rsid w:val="00567ACC"/>
    <w:rsid w:val="005700B4"/>
    <w:rsid w:val="00570AAD"/>
    <w:rsid w:val="00573000"/>
    <w:rsid w:val="00587D59"/>
    <w:rsid w:val="005B72F0"/>
    <w:rsid w:val="005C4373"/>
    <w:rsid w:val="005D17EC"/>
    <w:rsid w:val="005E2CD1"/>
    <w:rsid w:val="00612650"/>
    <w:rsid w:val="00617658"/>
    <w:rsid w:val="00645189"/>
    <w:rsid w:val="00662484"/>
    <w:rsid w:val="00664299"/>
    <w:rsid w:val="00666CA4"/>
    <w:rsid w:val="006672B8"/>
    <w:rsid w:val="006833CE"/>
    <w:rsid w:val="00684AD1"/>
    <w:rsid w:val="00696079"/>
    <w:rsid w:val="006A713E"/>
    <w:rsid w:val="006A78BA"/>
    <w:rsid w:val="006B626B"/>
    <w:rsid w:val="006D0BFD"/>
    <w:rsid w:val="006F5EF6"/>
    <w:rsid w:val="00706667"/>
    <w:rsid w:val="00711DA7"/>
    <w:rsid w:val="0074075C"/>
    <w:rsid w:val="0074366D"/>
    <w:rsid w:val="0076633B"/>
    <w:rsid w:val="007A1E1F"/>
    <w:rsid w:val="007B7D65"/>
    <w:rsid w:val="007E6E9E"/>
    <w:rsid w:val="00804F58"/>
    <w:rsid w:val="00812435"/>
    <w:rsid w:val="008169D9"/>
    <w:rsid w:val="008235FD"/>
    <w:rsid w:val="00827806"/>
    <w:rsid w:val="00844D62"/>
    <w:rsid w:val="00862B55"/>
    <w:rsid w:val="00863DB5"/>
    <w:rsid w:val="00886C0F"/>
    <w:rsid w:val="008B3E70"/>
    <w:rsid w:val="008C4E1A"/>
    <w:rsid w:val="008F1C77"/>
    <w:rsid w:val="008F26FD"/>
    <w:rsid w:val="00923209"/>
    <w:rsid w:val="00933010"/>
    <w:rsid w:val="00943E10"/>
    <w:rsid w:val="00944F35"/>
    <w:rsid w:val="00965E12"/>
    <w:rsid w:val="009A39C9"/>
    <w:rsid w:val="00A20580"/>
    <w:rsid w:val="00A23EF1"/>
    <w:rsid w:val="00A25602"/>
    <w:rsid w:val="00A30EBC"/>
    <w:rsid w:val="00A321B2"/>
    <w:rsid w:val="00A541ED"/>
    <w:rsid w:val="00A64034"/>
    <w:rsid w:val="00AC184F"/>
    <w:rsid w:val="00AD242C"/>
    <w:rsid w:val="00AD43FE"/>
    <w:rsid w:val="00AE3F31"/>
    <w:rsid w:val="00B221E8"/>
    <w:rsid w:val="00B503E8"/>
    <w:rsid w:val="00B64D80"/>
    <w:rsid w:val="00B731F4"/>
    <w:rsid w:val="00B73E3F"/>
    <w:rsid w:val="00B93527"/>
    <w:rsid w:val="00B93AEA"/>
    <w:rsid w:val="00B966DE"/>
    <w:rsid w:val="00BC3A23"/>
    <w:rsid w:val="00BD2D7A"/>
    <w:rsid w:val="00BD2E60"/>
    <w:rsid w:val="00BD55C4"/>
    <w:rsid w:val="00C25C5A"/>
    <w:rsid w:val="00C844DE"/>
    <w:rsid w:val="00C96861"/>
    <w:rsid w:val="00CE503C"/>
    <w:rsid w:val="00D13720"/>
    <w:rsid w:val="00D31AD9"/>
    <w:rsid w:val="00D36411"/>
    <w:rsid w:val="00D541DE"/>
    <w:rsid w:val="00D73A1B"/>
    <w:rsid w:val="00D837D2"/>
    <w:rsid w:val="00D8782F"/>
    <w:rsid w:val="00DA4ACE"/>
    <w:rsid w:val="00DC0036"/>
    <w:rsid w:val="00DD3163"/>
    <w:rsid w:val="00DE3A60"/>
    <w:rsid w:val="00DE493C"/>
    <w:rsid w:val="00DF7127"/>
    <w:rsid w:val="00E3255E"/>
    <w:rsid w:val="00E5429D"/>
    <w:rsid w:val="00E55D5F"/>
    <w:rsid w:val="00E66839"/>
    <w:rsid w:val="00E8038D"/>
    <w:rsid w:val="00EA34E2"/>
    <w:rsid w:val="00EB452A"/>
    <w:rsid w:val="00EC66BC"/>
    <w:rsid w:val="00ED7087"/>
    <w:rsid w:val="00EF6AC6"/>
    <w:rsid w:val="00F11651"/>
    <w:rsid w:val="00F15981"/>
    <w:rsid w:val="00F254F2"/>
    <w:rsid w:val="00F65482"/>
    <w:rsid w:val="00F84D7F"/>
    <w:rsid w:val="00FC093F"/>
    <w:rsid w:val="00FC3C05"/>
    <w:rsid w:val="00FD6BD0"/>
    <w:rsid w:val="00FF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721E0"/>
  <w15:chartTrackingRefBased/>
  <w15:docId w15:val="{B92739A3-5A52-4E28-AB80-435CD7D56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0177"/>
    <w:pPr>
      <w:spacing w:after="120" w:line="288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384566"/>
    <w:pPr>
      <w:keepNext/>
      <w:keepLines/>
      <w:numPr>
        <w:numId w:val="1"/>
      </w:numPr>
      <w:spacing w:before="360" w:after="24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4566"/>
    <w:pPr>
      <w:keepNext/>
      <w:keepLines/>
      <w:numPr>
        <w:ilvl w:val="1"/>
        <w:numId w:val="1"/>
      </w:numPr>
      <w:spacing w:before="360" w:after="24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4566"/>
    <w:pPr>
      <w:keepNext/>
      <w:keepLines/>
      <w:numPr>
        <w:ilvl w:val="2"/>
        <w:numId w:val="1"/>
      </w:numPr>
      <w:spacing w:before="24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84566"/>
    <w:pPr>
      <w:keepNext/>
      <w:keepLines/>
      <w:numPr>
        <w:ilvl w:val="3"/>
        <w:numId w:val="1"/>
      </w:numPr>
      <w:spacing w:before="120"/>
      <w:outlineLvl w:val="3"/>
    </w:pPr>
    <w:rPr>
      <w:rFonts w:asciiTheme="majorHAnsi" w:eastAsiaTheme="majorEastAsia" w:hAnsiTheme="majorHAnsi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4566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84566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84566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84566"/>
    <w:rPr>
      <w:rFonts w:asciiTheme="majorHAnsi" w:eastAsiaTheme="majorEastAsia" w:hAnsiTheme="majorHAnsi" w:cstheme="majorBidi"/>
      <w:iCs/>
    </w:rPr>
  </w:style>
  <w:style w:type="paragraph" w:styleId="ListParagraph">
    <w:name w:val="List Paragraph"/>
    <w:basedOn w:val="Normal"/>
    <w:uiPriority w:val="34"/>
    <w:qFormat/>
    <w:rsid w:val="001001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01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177"/>
  </w:style>
  <w:style w:type="paragraph" w:styleId="Footer">
    <w:name w:val="footer"/>
    <w:basedOn w:val="Normal"/>
    <w:link w:val="FooterChar"/>
    <w:uiPriority w:val="99"/>
    <w:unhideWhenUsed/>
    <w:rsid w:val="001001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177"/>
  </w:style>
  <w:style w:type="character" w:styleId="CommentReference">
    <w:name w:val="annotation reference"/>
    <w:basedOn w:val="DefaultParagraphFont"/>
    <w:uiPriority w:val="99"/>
    <w:semiHidden/>
    <w:unhideWhenUsed/>
    <w:rsid w:val="001001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01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01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01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017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1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177"/>
    <w:rPr>
      <w:rFonts w:ascii="Segoe UI" w:hAnsi="Segoe UI" w:cs="Segoe UI"/>
      <w:sz w:val="18"/>
      <w:szCs w:val="18"/>
    </w:rPr>
  </w:style>
  <w:style w:type="numbering" w:customStyle="1" w:styleId="Headings">
    <w:name w:val="Headings"/>
    <w:uiPriority w:val="99"/>
    <w:rsid w:val="00100177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DC0036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69D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69D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69D9"/>
    <w:rPr>
      <w:vertAlign w:val="superscript"/>
    </w:rPr>
  </w:style>
  <w:style w:type="paragraph" w:styleId="Revision">
    <w:name w:val="Revision"/>
    <w:hidden/>
    <w:uiPriority w:val="99"/>
    <w:semiHidden/>
    <w:rsid w:val="003B7CC9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684AD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4AD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84A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3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Hanfa">
  <a:themeElements>
    <a:clrScheme name="Hanfa">
      <a:dk1>
        <a:sysClr val="windowText" lastClr="000000"/>
      </a:dk1>
      <a:lt1>
        <a:sysClr val="window" lastClr="FFFFFF"/>
      </a:lt1>
      <a:dk2>
        <a:srgbClr val="BEBEBE"/>
      </a:dk2>
      <a:lt2>
        <a:srgbClr val="E6E6E6"/>
      </a:lt2>
      <a:accent1>
        <a:srgbClr val="CC0000"/>
      </a:accent1>
      <a:accent2>
        <a:srgbClr val="D77067"/>
      </a:accent2>
      <a:accent3>
        <a:srgbClr val="6E6E6E"/>
      </a:accent3>
      <a:accent4>
        <a:srgbClr val="999999"/>
      </a:accent4>
      <a:accent5>
        <a:srgbClr val="BEBEBE"/>
      </a:accent5>
      <a:accent6>
        <a:srgbClr val="E6E6E6"/>
      </a:accent6>
      <a:hlink>
        <a:srgbClr val="3E68AF"/>
      </a:hlink>
      <a:folHlink>
        <a:srgbClr val="3E68AF"/>
      </a:folHlink>
    </a:clrScheme>
    <a:fontScheme name="Hanf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nterni dokument" ma:contentTypeID="0x0101009AA580FD43BEE646B3E3E9DD6CF3618F00C6F7A57617669A49AD3B293447C5E420" ma:contentTypeVersion="0" ma:contentTypeDescription="Dokument koji je samo za potrebe ljudi iz sektora I ne ide na kolegij" ma:contentTypeScope="" ma:versionID="c3b2a7a2f1b79da86465384d6927926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384c6cc0088fcedbaf6edaf557def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ECCDF-5A79-475C-9050-485222D0D1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6C5F20-55EF-4972-B7C8-F143D78CEA58}">
  <ds:schemaRefs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DEB0945-ABC0-4DAB-BE93-93A66B7BFB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0F4474-EB0A-4783-9EB3-337C38261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867</Words>
  <Characters>4942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SSFID</dc:creator>
  <cp:keywords/>
  <dc:description/>
  <cp:lastModifiedBy>Tomislav Žižak Čerin</cp:lastModifiedBy>
  <cp:revision>2</cp:revision>
  <dcterms:created xsi:type="dcterms:W3CDTF">2019-04-10T11:48:00Z</dcterms:created>
  <dcterms:modified xsi:type="dcterms:W3CDTF">2019-04-10T11:48:00Z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0x0101009AA580FD43BEE646B3E3E9DD6CF3618F00C6F7A57617669A49AD3B293447C5E420</vt:lpwstr>
  </property>
</Properties>
</file>