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8505" w:bottomFromText="794" w:vertAnchor="page" w:horzAnchor="page" w:tblpX="8279" w:tblpY="1872"/>
        <w:tblOverlap w:val="never"/>
        <w:tblW w:w="0" w:type="auto"/>
        <w:tblLayout w:type="fixed"/>
        <w:tblCellMar>
          <w:left w:w="0" w:type="dxa"/>
          <w:right w:w="0" w:type="dxa"/>
        </w:tblCellMar>
        <w:tblLook w:val="01E0" w:firstRow="1" w:lastRow="1" w:firstColumn="1" w:lastColumn="1" w:noHBand="0" w:noVBand="0"/>
      </w:tblPr>
      <w:tblGrid>
        <w:gridCol w:w="2325"/>
      </w:tblGrid>
      <w:tr w:rsidR="00D560D5" w:rsidRPr="00321A66" w14:paraId="42479EC1" w14:textId="77777777" w:rsidTr="001F1BC0">
        <w:trPr>
          <w:trHeight w:hRule="exact" w:val="964"/>
        </w:trPr>
        <w:tc>
          <w:tcPr>
            <w:tcW w:w="2325" w:type="dxa"/>
          </w:tcPr>
          <w:p w14:paraId="0E390F41" w14:textId="47D6B52A" w:rsidR="00D560D5" w:rsidRPr="00927484" w:rsidRDefault="00C22A6E" w:rsidP="00EF4FE4">
            <w:pPr>
              <w:pStyle w:val="02Date"/>
              <w:spacing w:line="276" w:lineRule="auto"/>
              <w:jc w:val="both"/>
              <w:rPr>
                <w:rFonts w:ascii="Arial" w:hAnsi="Arial" w:cs="Arial"/>
                <w:lang w:val="es-ES_tradnl"/>
              </w:rPr>
            </w:pPr>
            <w:bookmarkStart w:id="0" w:name="_GoBack"/>
            <w:bookmarkEnd w:id="0"/>
            <w:r w:rsidRPr="00055C6E">
              <w:rPr>
                <w:rFonts w:ascii="Arial" w:hAnsi="Arial" w:cs="Arial"/>
              </w:rPr>
              <w:t>Date:</w:t>
            </w:r>
            <w:r w:rsidR="00304D75">
              <w:rPr>
                <w:rFonts w:ascii="Arial" w:hAnsi="Arial" w:cs="Arial"/>
              </w:rPr>
              <w:t>2</w:t>
            </w:r>
            <w:r w:rsidR="00C66ED2">
              <w:rPr>
                <w:rFonts w:ascii="Arial" w:hAnsi="Arial" w:cs="Arial"/>
              </w:rPr>
              <w:t>2</w:t>
            </w:r>
            <w:r w:rsidR="00FD2275" w:rsidRPr="00927484">
              <w:rPr>
                <w:rFonts w:ascii="Arial" w:hAnsi="Arial" w:cs="Arial"/>
                <w:lang w:val="es-ES_tradnl"/>
              </w:rPr>
              <w:t xml:space="preserve"> </w:t>
            </w:r>
            <w:proofErr w:type="spellStart"/>
            <w:r w:rsidR="00927484">
              <w:rPr>
                <w:rFonts w:ascii="Arial" w:hAnsi="Arial" w:cs="Arial"/>
                <w:lang w:val="es-ES_tradnl"/>
              </w:rPr>
              <w:t>October</w:t>
            </w:r>
            <w:proofErr w:type="spellEnd"/>
            <w:r w:rsidR="00FC26F9" w:rsidRPr="00927484">
              <w:rPr>
                <w:rFonts w:ascii="Arial" w:hAnsi="Arial" w:cs="Arial"/>
                <w:lang w:val="es-ES_tradnl"/>
              </w:rPr>
              <w:t xml:space="preserve"> </w:t>
            </w:r>
            <w:r w:rsidR="00DD56A0" w:rsidRPr="00927484">
              <w:rPr>
                <w:rFonts w:ascii="Arial" w:hAnsi="Arial" w:cs="Arial"/>
                <w:lang w:val="es-ES_tradnl"/>
              </w:rPr>
              <w:t>201</w:t>
            </w:r>
            <w:r w:rsidR="00F32F7E" w:rsidRPr="00927484">
              <w:rPr>
                <w:rFonts w:ascii="Arial" w:hAnsi="Arial" w:cs="Arial"/>
                <w:lang w:val="es-ES_tradnl"/>
              </w:rPr>
              <w:t>5</w:t>
            </w:r>
          </w:p>
          <w:p w14:paraId="3E0AE031" w14:textId="57842BA8" w:rsidR="00D560D5" w:rsidRPr="00321A66" w:rsidRDefault="00DD56A0" w:rsidP="00F0735C">
            <w:pPr>
              <w:pStyle w:val="02Date"/>
              <w:spacing w:line="276" w:lineRule="auto"/>
              <w:jc w:val="both"/>
              <w:rPr>
                <w:rFonts w:ascii="Arial" w:hAnsi="Arial" w:cs="Arial"/>
                <w:sz w:val="20"/>
                <w:szCs w:val="20"/>
              </w:rPr>
            </w:pPr>
            <w:r w:rsidRPr="00BA3D06">
              <w:rPr>
                <w:rFonts w:ascii="Arial" w:hAnsi="Arial" w:cs="Arial"/>
                <w:lang w:val="es-ES_tradnl"/>
              </w:rPr>
              <w:t>ESMA/201</w:t>
            </w:r>
            <w:r w:rsidR="00F32F7E" w:rsidRPr="00BA3D06">
              <w:rPr>
                <w:rFonts w:ascii="Arial" w:hAnsi="Arial" w:cs="Arial"/>
                <w:lang w:val="es-ES_tradnl"/>
              </w:rPr>
              <w:t>5</w:t>
            </w:r>
            <w:r w:rsidR="00BA3D06" w:rsidRPr="00BA3D06">
              <w:rPr>
                <w:rFonts w:ascii="Arial" w:hAnsi="Arial" w:cs="Arial"/>
                <w:lang w:val="es-ES_tradnl"/>
              </w:rPr>
              <w:t>/1598</w:t>
            </w:r>
          </w:p>
        </w:tc>
      </w:tr>
    </w:tbl>
    <w:p w14:paraId="1C19B401" w14:textId="3DFFCD98" w:rsidR="00164E29" w:rsidRPr="00055A6D" w:rsidRDefault="00164E29" w:rsidP="001815A5">
      <w:pPr>
        <w:pStyle w:val="Subtitle"/>
        <w:numPr>
          <w:ilvl w:val="0"/>
          <w:numId w:val="0"/>
        </w:numPr>
        <w:spacing w:after="0"/>
        <w:jc w:val="left"/>
        <w:rPr>
          <w:rFonts w:ascii="Arial" w:hAnsi="Arial" w:cs="Arial"/>
          <w:sz w:val="28"/>
          <w:szCs w:val="28"/>
        </w:rPr>
      </w:pPr>
      <w:r w:rsidRPr="00055A6D">
        <w:rPr>
          <w:rFonts w:ascii="Arial" w:hAnsi="Arial" w:cs="Arial"/>
          <w:sz w:val="28"/>
          <w:szCs w:val="28"/>
        </w:rPr>
        <w:t>Indicative list of financial instruments that are subject to notification requirements according to Article 13(1b) of the revised Transparency Directive</w:t>
      </w:r>
    </w:p>
    <w:p w14:paraId="211B4D20" w14:textId="77777777" w:rsidR="00164E29" w:rsidRPr="00164E29" w:rsidRDefault="00164E29" w:rsidP="00164E29">
      <w:pPr>
        <w:rPr>
          <w:rFonts w:ascii="Arial" w:hAnsi="Arial" w:cs="Arial"/>
          <w:szCs w:val="22"/>
          <w:lang w:eastAsia="en-US"/>
        </w:rPr>
      </w:pPr>
    </w:p>
    <w:p w14:paraId="2F6A9865" w14:textId="77777777" w:rsidR="00164E29" w:rsidRPr="00164E29" w:rsidRDefault="00164E29" w:rsidP="00164E29">
      <w:pPr>
        <w:rPr>
          <w:rFonts w:ascii="Arial" w:hAnsi="Arial" w:cs="Arial"/>
          <w:szCs w:val="22"/>
        </w:rPr>
      </w:pPr>
    </w:p>
    <w:p w14:paraId="27653761" w14:textId="77777777" w:rsidR="00164E29" w:rsidRPr="00164E29" w:rsidRDefault="00164E29" w:rsidP="004E6699">
      <w:pPr>
        <w:pStyle w:val="04aNumbering"/>
        <w:tabs>
          <w:tab w:val="num" w:pos="284"/>
        </w:tabs>
        <w:ind w:left="284" w:hanging="284"/>
        <w:rPr>
          <w:rFonts w:ascii="Arial" w:hAnsi="Arial" w:cs="Arial"/>
          <w:sz w:val="22"/>
          <w:szCs w:val="22"/>
        </w:rPr>
      </w:pPr>
      <w:r w:rsidRPr="00164E29">
        <w:rPr>
          <w:rFonts w:ascii="Arial" w:hAnsi="Arial" w:cs="Arial"/>
          <w:sz w:val="22"/>
          <w:szCs w:val="22"/>
        </w:rPr>
        <w:t xml:space="preserve">1. Article 13(1b) of Directive 2004/109/EC already considers </w:t>
      </w:r>
      <w:r w:rsidRPr="004E6699">
        <w:rPr>
          <w:rFonts w:ascii="Arial" w:hAnsi="Arial" w:cs="Arial"/>
          <w:sz w:val="22"/>
          <w:szCs w:val="22"/>
        </w:rPr>
        <w:t>the following to be financial instr</w:t>
      </w:r>
      <w:r w:rsidRPr="004E6699">
        <w:rPr>
          <w:rFonts w:ascii="Arial" w:hAnsi="Arial" w:cs="Arial"/>
          <w:sz w:val="22"/>
          <w:szCs w:val="22"/>
        </w:rPr>
        <w:t>u</w:t>
      </w:r>
      <w:r w:rsidRPr="004E6699">
        <w:rPr>
          <w:rFonts w:ascii="Arial" w:hAnsi="Arial" w:cs="Arial"/>
          <w:sz w:val="22"/>
          <w:szCs w:val="22"/>
        </w:rPr>
        <w:t>ments, provided they satisfy any of the conditions set out in points (a) or (b) of the first su</w:t>
      </w:r>
      <w:r w:rsidRPr="004E6699">
        <w:rPr>
          <w:rFonts w:ascii="Arial" w:hAnsi="Arial" w:cs="Arial"/>
          <w:sz w:val="22"/>
          <w:szCs w:val="22"/>
        </w:rPr>
        <w:t>b</w:t>
      </w:r>
      <w:r w:rsidRPr="004E6699">
        <w:rPr>
          <w:rFonts w:ascii="Arial" w:hAnsi="Arial" w:cs="Arial"/>
          <w:sz w:val="22"/>
          <w:szCs w:val="22"/>
        </w:rPr>
        <w:t>paragraph of Article 13(1) of said Directive:</w:t>
      </w:r>
    </w:p>
    <w:p w14:paraId="710A5229"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transferable securities;</w:t>
      </w:r>
    </w:p>
    <w:p w14:paraId="33FEEB80"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options;</w:t>
      </w:r>
    </w:p>
    <w:p w14:paraId="559D6A09"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futures;</w:t>
      </w:r>
    </w:p>
    <w:p w14:paraId="12F9C1A0"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swaps;</w:t>
      </w:r>
    </w:p>
    <w:p w14:paraId="1285CF40"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forward rate agreements;</w:t>
      </w:r>
    </w:p>
    <w:p w14:paraId="326C7F9A"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contracts for differences; and</w:t>
      </w:r>
    </w:p>
    <w:p w14:paraId="0767F703"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proofErr w:type="gramStart"/>
      <w:r w:rsidRPr="00164E29">
        <w:rPr>
          <w:rFonts w:ascii="Arial" w:hAnsi="Arial" w:cs="Arial"/>
          <w:sz w:val="22"/>
          <w:szCs w:val="22"/>
        </w:rPr>
        <w:t>any</w:t>
      </w:r>
      <w:proofErr w:type="gramEnd"/>
      <w:r w:rsidRPr="00164E29">
        <w:rPr>
          <w:rFonts w:ascii="Arial" w:hAnsi="Arial" w:cs="Arial"/>
          <w:sz w:val="22"/>
          <w:szCs w:val="22"/>
        </w:rPr>
        <w:t xml:space="preserve"> other contracts or agreements with similar economic effects which may be settled physically or in cash.</w:t>
      </w:r>
    </w:p>
    <w:p w14:paraId="3A7BED2E" w14:textId="77777777" w:rsidR="00164E29" w:rsidRPr="004E6699" w:rsidRDefault="00164E29" w:rsidP="004E6699">
      <w:pPr>
        <w:pStyle w:val="04aNumbering"/>
        <w:tabs>
          <w:tab w:val="num" w:pos="284"/>
        </w:tabs>
        <w:ind w:left="284" w:hanging="284"/>
        <w:rPr>
          <w:rFonts w:ascii="Arial" w:hAnsi="Arial" w:cs="Arial"/>
          <w:sz w:val="22"/>
          <w:szCs w:val="22"/>
        </w:rPr>
      </w:pPr>
      <w:r w:rsidRPr="004E6699">
        <w:rPr>
          <w:rFonts w:ascii="Arial" w:hAnsi="Arial" w:cs="Arial"/>
          <w:sz w:val="22"/>
          <w:szCs w:val="22"/>
        </w:rPr>
        <w:t>2. “Options” should be read as including calls, puts or any combination thereof.</w:t>
      </w:r>
    </w:p>
    <w:p w14:paraId="3F46D54D" w14:textId="77777777" w:rsidR="00164E29" w:rsidRPr="004E6699" w:rsidRDefault="00164E29" w:rsidP="004E6699">
      <w:pPr>
        <w:pStyle w:val="04aNumbering"/>
        <w:tabs>
          <w:tab w:val="num" w:pos="284"/>
        </w:tabs>
        <w:ind w:left="284" w:hanging="284"/>
        <w:rPr>
          <w:rFonts w:ascii="Arial" w:hAnsi="Arial" w:cs="Arial"/>
          <w:sz w:val="22"/>
          <w:szCs w:val="22"/>
        </w:rPr>
      </w:pPr>
      <w:r w:rsidRPr="004E6699">
        <w:rPr>
          <w:rFonts w:ascii="Arial" w:hAnsi="Arial" w:cs="Arial"/>
          <w:sz w:val="22"/>
          <w:szCs w:val="22"/>
        </w:rPr>
        <w:t>3. Furthermore, taking into account current technical developments on financial markets ESMA considers the following to be financial instruments, provided they satisfy any of the conditions set out in points (a) or (b) of the first subparagraph of Article 13(1) of Directive 2004/109/EC and reference shares to which voting rights are attached:</w:t>
      </w:r>
    </w:p>
    <w:p w14:paraId="1B71D1C7"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irrevocable convertible and exchangeable bonds referring to already issued shares;</w:t>
      </w:r>
    </w:p>
    <w:p w14:paraId="78897ADC" w14:textId="77777777" w:rsidR="00164E29" w:rsidRPr="008E73E3"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financial instruments referenced to a basket of shares or an index and which comply with the criteria laid down in Article 4(1) of Commission Delegated Reg</w:t>
      </w:r>
      <w:r w:rsidRPr="00164E29">
        <w:rPr>
          <w:rFonts w:ascii="Arial" w:hAnsi="Arial" w:cs="Arial"/>
          <w:sz w:val="22"/>
          <w:szCs w:val="22"/>
        </w:rPr>
        <w:t>u</w:t>
      </w:r>
      <w:r w:rsidRPr="00164E29">
        <w:rPr>
          <w:rFonts w:ascii="Arial" w:hAnsi="Arial" w:cs="Arial"/>
          <w:sz w:val="22"/>
          <w:szCs w:val="22"/>
        </w:rPr>
        <w:t xml:space="preserve">lation (EU) </w:t>
      </w:r>
      <w:r w:rsidRPr="008E73E3">
        <w:rPr>
          <w:rFonts w:ascii="Arial" w:hAnsi="Arial" w:cs="Arial"/>
          <w:sz w:val="22"/>
          <w:szCs w:val="22"/>
        </w:rPr>
        <w:t>2015/761 of 17 December 2014;</w:t>
      </w:r>
    </w:p>
    <w:p w14:paraId="4D3B3345"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warrants;</w:t>
      </w:r>
    </w:p>
    <w:p w14:paraId="732AC6E3"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repurchase agreements;</w:t>
      </w:r>
    </w:p>
    <w:p w14:paraId="4B1CF716"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lastRenderedPageBreak/>
        <w:t>rights to recall lent shares;</w:t>
      </w:r>
    </w:p>
    <w:p w14:paraId="313FF450"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contractual buying pre-emption rights;</w:t>
      </w:r>
    </w:p>
    <w:p w14:paraId="7D8C7B6C"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other conditional contracts or agreements than options and futures;</w:t>
      </w:r>
    </w:p>
    <w:p w14:paraId="1167E0B0"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hybrid financial instruments;</w:t>
      </w:r>
    </w:p>
    <w:p w14:paraId="59237C8E"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combinations of financial instruments;</w:t>
      </w:r>
    </w:p>
    <w:p w14:paraId="416E2B67"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proofErr w:type="gramStart"/>
      <w:r w:rsidRPr="00164E29">
        <w:rPr>
          <w:rFonts w:ascii="Arial" w:hAnsi="Arial" w:cs="Arial"/>
          <w:sz w:val="22"/>
          <w:szCs w:val="22"/>
        </w:rPr>
        <w:t>shareholders</w:t>
      </w:r>
      <w:proofErr w:type="gramEnd"/>
      <w:r w:rsidRPr="00164E29">
        <w:rPr>
          <w:rFonts w:ascii="Arial" w:hAnsi="Arial" w:cs="Arial"/>
          <w:sz w:val="22"/>
          <w:szCs w:val="22"/>
        </w:rPr>
        <w:t>’ agreements having Directive 2004/109/EC Article 13(1)(a) and (b) financial instruments as an underlying.</w:t>
      </w:r>
    </w:p>
    <w:p w14:paraId="3A83E3C3" w14:textId="77777777" w:rsidR="00164E29" w:rsidRPr="004E6699" w:rsidRDefault="00164E29" w:rsidP="004E6699">
      <w:pPr>
        <w:pStyle w:val="04aNumbering"/>
        <w:tabs>
          <w:tab w:val="num" w:pos="284"/>
        </w:tabs>
        <w:ind w:left="284" w:hanging="284"/>
        <w:rPr>
          <w:rFonts w:ascii="Arial" w:hAnsi="Arial" w:cs="Arial"/>
          <w:sz w:val="22"/>
          <w:szCs w:val="22"/>
        </w:rPr>
      </w:pPr>
      <w:r w:rsidRPr="004E6699">
        <w:rPr>
          <w:rFonts w:ascii="Arial" w:hAnsi="Arial" w:cs="Arial"/>
          <w:sz w:val="22"/>
          <w:szCs w:val="22"/>
        </w:rPr>
        <w:t>4. ESMA acknowledges that, depending on the characteristics and typology of such financial instruments, there can be overlaps within the categories referred above. In such cases notif</w:t>
      </w:r>
      <w:r w:rsidRPr="004E6699">
        <w:rPr>
          <w:rFonts w:ascii="Arial" w:hAnsi="Arial" w:cs="Arial"/>
          <w:sz w:val="22"/>
          <w:szCs w:val="22"/>
        </w:rPr>
        <w:t>i</w:t>
      </w:r>
      <w:r w:rsidRPr="004E6699">
        <w:rPr>
          <w:rFonts w:ascii="Arial" w:hAnsi="Arial" w:cs="Arial"/>
          <w:sz w:val="22"/>
          <w:szCs w:val="22"/>
        </w:rPr>
        <w:t>cation is required under one of the categories.</w:t>
      </w:r>
    </w:p>
    <w:p w14:paraId="70C58568" w14:textId="77777777" w:rsidR="00164E29" w:rsidRPr="00164E29" w:rsidRDefault="00164E29" w:rsidP="00164E29">
      <w:pPr>
        <w:spacing w:after="120"/>
        <w:jc w:val="both"/>
        <w:rPr>
          <w:rFonts w:ascii="Arial" w:hAnsi="Arial" w:cs="Arial"/>
          <w:szCs w:val="22"/>
        </w:rPr>
      </w:pPr>
    </w:p>
    <w:p w14:paraId="323B8DF5" w14:textId="392F0914" w:rsidR="00FD2275" w:rsidRPr="00164E29" w:rsidRDefault="00FD2275" w:rsidP="00FD2275">
      <w:pPr>
        <w:rPr>
          <w:rFonts w:ascii="Arial" w:hAnsi="Arial" w:cs="Arial"/>
          <w:szCs w:val="22"/>
        </w:rPr>
      </w:pPr>
    </w:p>
    <w:sectPr w:rsidR="00FD2275" w:rsidRPr="00164E29" w:rsidSect="00C413FC">
      <w:headerReference w:type="default" r:id="rId9"/>
      <w:footerReference w:type="default" r:id="rId10"/>
      <w:headerReference w:type="first" r:id="rId11"/>
      <w:footerReference w:type="first" r:id="rId12"/>
      <w:pgSz w:w="11906" w:h="16838" w:code="9"/>
      <w:pgMar w:top="2552" w:right="1247" w:bottom="1361" w:left="1247" w:header="709" w:footer="709" w:gutter="0"/>
      <w:cols w:space="708"/>
      <w:titlePg/>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706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5FD5B" w14:textId="77777777" w:rsidR="002B189C" w:rsidRDefault="002B189C">
      <w:r>
        <w:separator/>
      </w:r>
    </w:p>
    <w:p w14:paraId="3B8554AA" w14:textId="77777777" w:rsidR="002B189C" w:rsidRDefault="002B189C"/>
  </w:endnote>
  <w:endnote w:type="continuationSeparator" w:id="0">
    <w:p w14:paraId="7F23399B" w14:textId="77777777" w:rsidR="002B189C" w:rsidRDefault="002B189C">
      <w:r>
        <w:continuationSeparator/>
      </w:r>
    </w:p>
    <w:p w14:paraId="0565DA76" w14:textId="77777777" w:rsidR="002B189C" w:rsidRDefault="002B189C"/>
  </w:endnote>
  <w:endnote w:type="continuationNotice" w:id="1">
    <w:p w14:paraId="0B29D633" w14:textId="77777777" w:rsidR="002B189C" w:rsidRDefault="002B1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39927688" w14:textId="77777777" w:rsidTr="001F1BC0">
      <w:trPr>
        <w:trHeight w:val="284"/>
      </w:trPr>
      <w:tc>
        <w:tcPr>
          <w:tcW w:w="8460" w:type="dxa"/>
        </w:tcPr>
        <w:p w14:paraId="7FF41CD5" w14:textId="77777777" w:rsidR="003C4FD4" w:rsidRPr="001F1BC0" w:rsidRDefault="003C4FD4" w:rsidP="001F1BC0">
          <w:pPr>
            <w:pStyle w:val="00Footer"/>
            <w:rPr>
              <w:lang w:val="fr-FR"/>
            </w:rPr>
          </w:pPr>
        </w:p>
      </w:tc>
      <w:tc>
        <w:tcPr>
          <w:tcW w:w="952" w:type="dxa"/>
        </w:tcPr>
        <w:p w14:paraId="53031D93"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6B5F93">
            <w:rPr>
              <w:rFonts w:ascii="Arial" w:hAnsi="Arial" w:cs="Arial"/>
              <w:noProof/>
            </w:rPr>
            <w:t>2</w:t>
          </w:r>
          <w:r w:rsidRPr="0084725C">
            <w:rPr>
              <w:rFonts w:ascii="Arial" w:hAnsi="Arial" w:cs="Arial"/>
              <w:noProof/>
            </w:rPr>
            <w:fldChar w:fldCharType="end"/>
          </w:r>
        </w:p>
      </w:tc>
    </w:tr>
  </w:tbl>
  <w:p w14:paraId="42DA08FC" w14:textId="77777777" w:rsidR="003C4FD4" w:rsidRDefault="003C4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879995"/>
      <w:docPartObj>
        <w:docPartGallery w:val="Page Numbers (Bottom of Page)"/>
        <w:docPartUnique/>
      </w:docPartObj>
    </w:sdtPr>
    <w:sdtEndPr>
      <w:rPr>
        <w:noProof/>
      </w:rPr>
    </w:sdtEndPr>
    <w:sdtContent>
      <w:p w14:paraId="49972A7D"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6B5F93">
          <w:rPr>
            <w:noProof/>
            <w:sz w:val="20"/>
            <w:szCs w:val="20"/>
          </w:rPr>
          <w:t>1</w:t>
        </w:r>
        <w:r w:rsidRPr="006202FB">
          <w:rPr>
            <w:noProof/>
            <w:sz w:val="20"/>
            <w:szCs w:val="20"/>
          </w:rPr>
          <w:fldChar w:fldCharType="end"/>
        </w:r>
      </w:p>
    </w:sdtContent>
  </w:sdt>
  <w:p w14:paraId="4745D78C" w14:textId="77777777" w:rsidR="003C4FD4" w:rsidRDefault="003C4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1306B" w14:textId="77777777" w:rsidR="002B189C" w:rsidRDefault="002B189C">
      <w:r>
        <w:separator/>
      </w:r>
    </w:p>
    <w:p w14:paraId="1EEB6405" w14:textId="77777777" w:rsidR="002B189C" w:rsidRDefault="002B189C"/>
  </w:footnote>
  <w:footnote w:type="continuationSeparator" w:id="0">
    <w:p w14:paraId="1DFC6885" w14:textId="77777777" w:rsidR="002B189C" w:rsidRDefault="002B189C">
      <w:r>
        <w:continuationSeparator/>
      </w:r>
    </w:p>
    <w:p w14:paraId="774267FE" w14:textId="77777777" w:rsidR="002B189C" w:rsidRDefault="002B189C"/>
  </w:footnote>
  <w:footnote w:type="continuationNotice" w:id="1">
    <w:p w14:paraId="0FEF8F0A" w14:textId="77777777" w:rsidR="002B189C" w:rsidRDefault="002B18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2E4A8" w14:textId="409B0D22" w:rsidR="0084725C" w:rsidRDefault="00821E26" w:rsidP="0084725C">
    <w:pPr>
      <w:pStyle w:val="Header"/>
      <w:jc w:val="right"/>
      <w:rPr>
        <w:b/>
        <w:color w:val="FF0000"/>
      </w:rPr>
    </w:pPr>
    <w:r>
      <w:rPr>
        <w:noProof/>
        <w:lang w:eastAsia="en-GB"/>
      </w:rPr>
      <mc:AlternateContent>
        <mc:Choice Requires="wps">
          <w:drawing>
            <wp:anchor distT="0" distB="0" distL="114300" distR="114300" simplePos="0" relativeHeight="251671552" behindDoc="0" locked="0" layoutInCell="1" allowOverlap="1" wp14:anchorId="2E237C2C" wp14:editId="1753B6BB">
              <wp:simplePos x="0" y="0"/>
              <wp:positionH relativeFrom="page">
                <wp:posOffset>1535430</wp:posOffset>
              </wp:positionH>
              <wp:positionV relativeFrom="page">
                <wp:posOffset>607695</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0.9pt,47.85pt" to="120.9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" strokecolor="#283583" strokeweight="1pt">
              <w10:wrap anchorx="page" anchory="page"/>
            </v:line>
          </w:pict>
        </mc:Fallback>
      </mc:AlternateContent>
    </w:r>
  </w:p>
  <w:p w14:paraId="43AAD1E1" w14:textId="39605B4B" w:rsidR="0084725C" w:rsidRDefault="0084725C" w:rsidP="0084725C">
    <w:pPr>
      <w:pStyle w:val="Header"/>
      <w:jc w:val="right"/>
      <w:rPr>
        <w:b/>
        <w:color w:val="FF0000"/>
      </w:rPr>
    </w:pPr>
  </w:p>
  <w:p w14:paraId="0D3993E4" w14:textId="726705D1" w:rsidR="003C4FD4" w:rsidRPr="0084725C" w:rsidRDefault="003C43F8" w:rsidP="003C43F8">
    <w:pPr>
      <w:pStyle w:val="Header"/>
      <w:tabs>
        <w:tab w:val="left" w:pos="1127"/>
        <w:tab w:val="right" w:pos="9412"/>
      </w:tabs>
      <w:rPr>
        <w:rFonts w:ascii="Arial" w:hAnsi="Arial" w:cs="Arial"/>
        <w:sz w:val="20"/>
      </w:rPr>
    </w:pPr>
    <w:r>
      <w:rPr>
        <w:rFonts w:ascii="Arial" w:hAnsi="Arial" w:cs="Arial"/>
        <w:color w:val="FF0000"/>
        <w:sz w:val="20"/>
      </w:rPr>
      <w:tab/>
    </w:r>
    <w:r>
      <w:rPr>
        <w:rFonts w:ascii="Arial" w:hAnsi="Arial" w:cs="Arial"/>
        <w:color w:val="FF0000"/>
        <w:sz w:val="20"/>
      </w:rPr>
      <w:tab/>
    </w:r>
    <w:r>
      <w:rPr>
        <w:rFonts w:ascii="Arial" w:hAnsi="Arial" w:cs="Arial"/>
        <w:color w:val="FF0000"/>
        <w:sz w:val="20"/>
      </w:rPr>
      <w:tab/>
    </w:r>
    <w:r w:rsidR="000339D6">
      <w:rPr>
        <w:noProof/>
        <w:lang w:eastAsia="en-GB"/>
      </w:rPr>
      <w:drawing>
        <wp:anchor distT="0" distB="0" distL="114300" distR="114300" simplePos="0" relativeHeight="251667456" behindDoc="0" locked="0" layoutInCell="1" allowOverlap="1" wp14:anchorId="31341F68" wp14:editId="54E7D903">
          <wp:simplePos x="0" y="0"/>
          <wp:positionH relativeFrom="page">
            <wp:posOffset>745121</wp:posOffset>
          </wp:positionH>
          <wp:positionV relativeFrom="page">
            <wp:posOffset>587698</wp:posOffset>
          </wp:positionV>
          <wp:extent cx="561975" cy="561975"/>
          <wp:effectExtent l="0" t="0" r="9525" b="9525"/>
          <wp:wrapNone/>
          <wp:docPr id="10" name="Picture 10"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8279" w:tblpY="1135"/>
      <w:tblOverlap w:val="never"/>
      <w:tblW w:w="0" w:type="auto"/>
      <w:tblLayout w:type="fixed"/>
      <w:tblCellMar>
        <w:left w:w="0" w:type="dxa"/>
        <w:right w:w="0" w:type="dxa"/>
      </w:tblCellMar>
      <w:tblLook w:val="01E0" w:firstRow="1" w:lastRow="1" w:firstColumn="1" w:lastColumn="1" w:noHBand="0" w:noVBand="0"/>
    </w:tblPr>
    <w:tblGrid>
      <w:gridCol w:w="2325"/>
    </w:tblGrid>
    <w:tr w:rsidR="003C4FD4" w14:paraId="0594B523" w14:textId="77777777" w:rsidTr="001F1BC0">
      <w:trPr>
        <w:trHeight w:hRule="exact" w:val="567"/>
      </w:trPr>
      <w:tc>
        <w:tcPr>
          <w:tcW w:w="2325" w:type="dxa"/>
        </w:tcPr>
        <w:p w14:paraId="7F65F5D4" w14:textId="0B093D52" w:rsidR="003C4FD4" w:rsidRPr="00CE447A" w:rsidRDefault="003C4FD4" w:rsidP="00CE447A">
          <w:pPr>
            <w:spacing w:after="250" w:line="276" w:lineRule="auto"/>
            <w:jc w:val="both"/>
            <w:rPr>
              <w:rFonts w:ascii="Arial" w:hAnsi="Arial" w:cs="Arial"/>
              <w:color w:val="FF0000"/>
              <w:sz w:val="20"/>
            </w:rPr>
          </w:pPr>
        </w:p>
      </w:tc>
    </w:tr>
  </w:tbl>
  <w:p w14:paraId="34F5C194" w14:textId="2AE49116" w:rsidR="003C4FD4" w:rsidRPr="00DB46C3" w:rsidRDefault="003C43F8">
    <w:pPr>
      <w:rPr>
        <w:lang w:val="fr-FR"/>
      </w:rPr>
    </w:pPr>
    <w:r>
      <w:rPr>
        <w:noProof/>
        <w:lang w:eastAsia="en-GB"/>
      </w:rPr>
      <w:drawing>
        <wp:anchor distT="0" distB="0" distL="114300" distR="114300" simplePos="0" relativeHeight="251665408" behindDoc="0" locked="0" layoutInCell="1" allowOverlap="1" wp14:anchorId="7C2033EE" wp14:editId="5A1260DC">
          <wp:simplePos x="0" y="0"/>
          <wp:positionH relativeFrom="page">
            <wp:posOffset>808051</wp:posOffset>
          </wp:positionH>
          <wp:positionV relativeFrom="page">
            <wp:posOffset>606425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53E8E"/>
    <w:multiLevelType w:val="hybridMultilevel"/>
    <w:tmpl w:val="C01A26F8"/>
    <w:lvl w:ilvl="0" w:tplc="C5E0DEC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8382EA2"/>
    <w:multiLevelType w:val="hybridMultilevel"/>
    <w:tmpl w:val="C01A26F8"/>
    <w:lvl w:ilvl="0" w:tplc="C5E0DEC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7">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12">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4261A85"/>
    <w:multiLevelType w:val="hybridMultilevel"/>
    <w:tmpl w:val="9C3C1076"/>
    <w:lvl w:ilvl="0" w:tplc="0F768706">
      <w:start w:val="1"/>
      <w:numFmt w:val="decimal"/>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5">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7">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2894BBA"/>
    <w:multiLevelType w:val="hybridMultilevel"/>
    <w:tmpl w:val="D3527562"/>
    <w:lvl w:ilvl="0" w:tplc="79B8EA9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22">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23">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0"/>
  </w:num>
  <w:num w:numId="4">
    <w:abstractNumId w:val="16"/>
  </w:num>
  <w:num w:numId="5">
    <w:abstractNumId w:val="15"/>
  </w:num>
  <w:num w:numId="6">
    <w:abstractNumId w:val="2"/>
  </w:num>
  <w:num w:numId="7">
    <w:abstractNumId w:val="14"/>
  </w:num>
  <w:num w:numId="8">
    <w:abstractNumId w:val="23"/>
  </w:num>
  <w:num w:numId="9">
    <w:abstractNumId w:val="17"/>
  </w:num>
  <w:num w:numId="10">
    <w:abstractNumId w:val="22"/>
  </w:num>
  <w:num w:numId="11">
    <w:abstractNumId w:val="4"/>
  </w:num>
  <w:num w:numId="12">
    <w:abstractNumId w:val="21"/>
  </w:num>
  <w:num w:numId="13">
    <w:abstractNumId w:val="9"/>
  </w:num>
  <w:num w:numId="14">
    <w:abstractNumId w:val="12"/>
  </w:num>
  <w:num w:numId="15">
    <w:abstractNumId w:val="18"/>
  </w:num>
  <w:num w:numId="16">
    <w:abstractNumId w:val="3"/>
  </w:num>
  <w:num w:numId="17">
    <w:abstractNumId w:val="19"/>
  </w:num>
  <w:num w:numId="18">
    <w:abstractNumId w:val="0"/>
  </w:num>
  <w:num w:numId="19">
    <w:abstractNumId w:val="8"/>
  </w:num>
  <w:num w:numId="20">
    <w:abstractNumId w:val="7"/>
  </w:num>
  <w:num w:numId="21">
    <w:abstractNumId w:val="6"/>
  </w:num>
  <w:num w:numId="22">
    <w:abstractNumId w:val="5"/>
  </w:num>
  <w:num w:numId="23">
    <w:abstractNumId w:val="1"/>
  </w:num>
  <w:num w:numId="24">
    <w:abstractNumId w:val="2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eschenGe">
    <w15:presenceInfo w15:providerId="None" w15:userId="Giesche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512D8"/>
    <w:rsid w:val="00051992"/>
    <w:rsid w:val="00051D1D"/>
    <w:rsid w:val="0005328D"/>
    <w:rsid w:val="0005496E"/>
    <w:rsid w:val="00054F12"/>
    <w:rsid w:val="00055A6D"/>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7AA8"/>
    <w:rsid w:val="00070974"/>
    <w:rsid w:val="00070AF0"/>
    <w:rsid w:val="00070D84"/>
    <w:rsid w:val="000712BE"/>
    <w:rsid w:val="000735E7"/>
    <w:rsid w:val="000740A5"/>
    <w:rsid w:val="000748DC"/>
    <w:rsid w:val="00075905"/>
    <w:rsid w:val="0007602C"/>
    <w:rsid w:val="000769BB"/>
    <w:rsid w:val="00080976"/>
    <w:rsid w:val="00080E88"/>
    <w:rsid w:val="000817AE"/>
    <w:rsid w:val="00082A75"/>
    <w:rsid w:val="00086FF2"/>
    <w:rsid w:val="00087196"/>
    <w:rsid w:val="000873A4"/>
    <w:rsid w:val="000878D1"/>
    <w:rsid w:val="00090A5D"/>
    <w:rsid w:val="000925FF"/>
    <w:rsid w:val="00092619"/>
    <w:rsid w:val="000932E0"/>
    <w:rsid w:val="00094A2A"/>
    <w:rsid w:val="000A0FE9"/>
    <w:rsid w:val="000A16FC"/>
    <w:rsid w:val="000A2127"/>
    <w:rsid w:val="000A220F"/>
    <w:rsid w:val="000A2838"/>
    <w:rsid w:val="000A2A73"/>
    <w:rsid w:val="000A4FAC"/>
    <w:rsid w:val="000A571C"/>
    <w:rsid w:val="000A706D"/>
    <w:rsid w:val="000A7749"/>
    <w:rsid w:val="000A7B53"/>
    <w:rsid w:val="000A7FA8"/>
    <w:rsid w:val="000B002B"/>
    <w:rsid w:val="000B0BE8"/>
    <w:rsid w:val="000B0FFB"/>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605C"/>
    <w:rsid w:val="00156223"/>
    <w:rsid w:val="00161FEF"/>
    <w:rsid w:val="00162AB9"/>
    <w:rsid w:val="001637A1"/>
    <w:rsid w:val="00164775"/>
    <w:rsid w:val="00164872"/>
    <w:rsid w:val="00164E29"/>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5A5"/>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5F06"/>
    <w:rsid w:val="002764C5"/>
    <w:rsid w:val="00277373"/>
    <w:rsid w:val="00277578"/>
    <w:rsid w:val="00280192"/>
    <w:rsid w:val="00280613"/>
    <w:rsid w:val="0028284C"/>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89C"/>
    <w:rsid w:val="002B1E4F"/>
    <w:rsid w:val="002B3138"/>
    <w:rsid w:val="002B3C91"/>
    <w:rsid w:val="002B3DDC"/>
    <w:rsid w:val="002B4FAA"/>
    <w:rsid w:val="002B6735"/>
    <w:rsid w:val="002B678C"/>
    <w:rsid w:val="002B7D3C"/>
    <w:rsid w:val="002C00DA"/>
    <w:rsid w:val="002C00EE"/>
    <w:rsid w:val="002C018C"/>
    <w:rsid w:val="002C1FCE"/>
    <w:rsid w:val="002C23AF"/>
    <w:rsid w:val="002C2ED6"/>
    <w:rsid w:val="002C3C63"/>
    <w:rsid w:val="002C5B2D"/>
    <w:rsid w:val="002C6A13"/>
    <w:rsid w:val="002C6AB7"/>
    <w:rsid w:val="002C6CBE"/>
    <w:rsid w:val="002D011A"/>
    <w:rsid w:val="002D025E"/>
    <w:rsid w:val="002D32B4"/>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4555"/>
    <w:rsid w:val="003A461E"/>
    <w:rsid w:val="003B30DD"/>
    <w:rsid w:val="003B3540"/>
    <w:rsid w:val="003B381A"/>
    <w:rsid w:val="003B426A"/>
    <w:rsid w:val="003B44AE"/>
    <w:rsid w:val="003B4F55"/>
    <w:rsid w:val="003B5B7A"/>
    <w:rsid w:val="003B6875"/>
    <w:rsid w:val="003B6C38"/>
    <w:rsid w:val="003B7FD9"/>
    <w:rsid w:val="003C16B4"/>
    <w:rsid w:val="003C2D6A"/>
    <w:rsid w:val="003C37D2"/>
    <w:rsid w:val="003C43F8"/>
    <w:rsid w:val="003C4497"/>
    <w:rsid w:val="003C462F"/>
    <w:rsid w:val="003C4FD4"/>
    <w:rsid w:val="003C7529"/>
    <w:rsid w:val="003C7DEE"/>
    <w:rsid w:val="003C7FA3"/>
    <w:rsid w:val="003D0DD6"/>
    <w:rsid w:val="003D0EF2"/>
    <w:rsid w:val="003D37B6"/>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A11"/>
    <w:rsid w:val="003F7029"/>
    <w:rsid w:val="00400190"/>
    <w:rsid w:val="00400B8F"/>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6699"/>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3F63"/>
    <w:rsid w:val="00564298"/>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5467"/>
    <w:rsid w:val="005F60DC"/>
    <w:rsid w:val="005F65A3"/>
    <w:rsid w:val="005F65EB"/>
    <w:rsid w:val="0060072C"/>
    <w:rsid w:val="00601778"/>
    <w:rsid w:val="00602253"/>
    <w:rsid w:val="006023E1"/>
    <w:rsid w:val="006026BE"/>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F3"/>
    <w:rsid w:val="006524D5"/>
    <w:rsid w:val="00652BBD"/>
    <w:rsid w:val="00652C5A"/>
    <w:rsid w:val="00652C63"/>
    <w:rsid w:val="0065335B"/>
    <w:rsid w:val="00653AAA"/>
    <w:rsid w:val="006558B3"/>
    <w:rsid w:val="00656305"/>
    <w:rsid w:val="00656878"/>
    <w:rsid w:val="00661393"/>
    <w:rsid w:val="006630CF"/>
    <w:rsid w:val="0066346A"/>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5F93"/>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921"/>
    <w:rsid w:val="006E7A7C"/>
    <w:rsid w:val="006F23AB"/>
    <w:rsid w:val="006F28C8"/>
    <w:rsid w:val="006F2DDC"/>
    <w:rsid w:val="006F33A1"/>
    <w:rsid w:val="006F3768"/>
    <w:rsid w:val="006F37F9"/>
    <w:rsid w:val="006F3D82"/>
    <w:rsid w:val="006F5495"/>
    <w:rsid w:val="006F5BC1"/>
    <w:rsid w:val="006F5EC3"/>
    <w:rsid w:val="006F604B"/>
    <w:rsid w:val="006F632E"/>
    <w:rsid w:val="00700247"/>
    <w:rsid w:val="00700650"/>
    <w:rsid w:val="00701051"/>
    <w:rsid w:val="007047BA"/>
    <w:rsid w:val="007075D9"/>
    <w:rsid w:val="00710519"/>
    <w:rsid w:val="00710E51"/>
    <w:rsid w:val="00712F1B"/>
    <w:rsid w:val="007133E4"/>
    <w:rsid w:val="00714980"/>
    <w:rsid w:val="00715818"/>
    <w:rsid w:val="00716774"/>
    <w:rsid w:val="007175A9"/>
    <w:rsid w:val="007209B6"/>
    <w:rsid w:val="00720C3A"/>
    <w:rsid w:val="00722952"/>
    <w:rsid w:val="00722F69"/>
    <w:rsid w:val="007238B9"/>
    <w:rsid w:val="007244C9"/>
    <w:rsid w:val="00724C18"/>
    <w:rsid w:val="00727168"/>
    <w:rsid w:val="00727946"/>
    <w:rsid w:val="00730944"/>
    <w:rsid w:val="00731097"/>
    <w:rsid w:val="007323EB"/>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359C"/>
    <w:rsid w:val="00803CDF"/>
    <w:rsid w:val="00803F1E"/>
    <w:rsid w:val="00806645"/>
    <w:rsid w:val="00811537"/>
    <w:rsid w:val="00811BCB"/>
    <w:rsid w:val="00812403"/>
    <w:rsid w:val="00812FD7"/>
    <w:rsid w:val="00813950"/>
    <w:rsid w:val="00813D16"/>
    <w:rsid w:val="00813DC1"/>
    <w:rsid w:val="00814F94"/>
    <w:rsid w:val="00814FFA"/>
    <w:rsid w:val="00815C74"/>
    <w:rsid w:val="008166DE"/>
    <w:rsid w:val="00816D67"/>
    <w:rsid w:val="008175CD"/>
    <w:rsid w:val="00821747"/>
    <w:rsid w:val="00821D01"/>
    <w:rsid w:val="00821E26"/>
    <w:rsid w:val="00822B27"/>
    <w:rsid w:val="0082343F"/>
    <w:rsid w:val="00824A2F"/>
    <w:rsid w:val="00826019"/>
    <w:rsid w:val="00826C9F"/>
    <w:rsid w:val="008271CC"/>
    <w:rsid w:val="00827439"/>
    <w:rsid w:val="00827DB5"/>
    <w:rsid w:val="00831077"/>
    <w:rsid w:val="0083497C"/>
    <w:rsid w:val="00836412"/>
    <w:rsid w:val="00836556"/>
    <w:rsid w:val="008371B7"/>
    <w:rsid w:val="00837A1D"/>
    <w:rsid w:val="00837FB2"/>
    <w:rsid w:val="0084121D"/>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4A59"/>
    <w:rsid w:val="008E513C"/>
    <w:rsid w:val="008E5C5B"/>
    <w:rsid w:val="008E73E3"/>
    <w:rsid w:val="008E7772"/>
    <w:rsid w:val="008F085A"/>
    <w:rsid w:val="008F248D"/>
    <w:rsid w:val="008F2508"/>
    <w:rsid w:val="008F2AF6"/>
    <w:rsid w:val="008F30DB"/>
    <w:rsid w:val="008F3B51"/>
    <w:rsid w:val="008F4B2C"/>
    <w:rsid w:val="008F4D1D"/>
    <w:rsid w:val="008F55BF"/>
    <w:rsid w:val="008F6800"/>
    <w:rsid w:val="008F76F5"/>
    <w:rsid w:val="008F7B1C"/>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1F6E"/>
    <w:rsid w:val="009D6E79"/>
    <w:rsid w:val="009D7392"/>
    <w:rsid w:val="009E0322"/>
    <w:rsid w:val="009E06E2"/>
    <w:rsid w:val="009E0BC5"/>
    <w:rsid w:val="009E1788"/>
    <w:rsid w:val="009E2168"/>
    <w:rsid w:val="009E2A8A"/>
    <w:rsid w:val="009E572D"/>
    <w:rsid w:val="009E57CA"/>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A5D"/>
    <w:rsid w:val="00A822CE"/>
    <w:rsid w:val="00A82689"/>
    <w:rsid w:val="00A82B45"/>
    <w:rsid w:val="00A83937"/>
    <w:rsid w:val="00A83F40"/>
    <w:rsid w:val="00A849B4"/>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D06"/>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65E"/>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457B"/>
    <w:rsid w:val="00C837B3"/>
    <w:rsid w:val="00C84237"/>
    <w:rsid w:val="00C8519B"/>
    <w:rsid w:val="00C85E52"/>
    <w:rsid w:val="00C8686B"/>
    <w:rsid w:val="00C86F96"/>
    <w:rsid w:val="00C909C6"/>
    <w:rsid w:val="00C91F08"/>
    <w:rsid w:val="00C9232F"/>
    <w:rsid w:val="00C92E9B"/>
    <w:rsid w:val="00C94312"/>
    <w:rsid w:val="00C94D4C"/>
    <w:rsid w:val="00C95680"/>
    <w:rsid w:val="00C96BDA"/>
    <w:rsid w:val="00CA012C"/>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D7D"/>
    <w:rsid w:val="00CC778D"/>
    <w:rsid w:val="00CD0483"/>
    <w:rsid w:val="00CD0D33"/>
    <w:rsid w:val="00CD25BD"/>
    <w:rsid w:val="00CD26D4"/>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D2E"/>
    <w:rsid w:val="00DA4261"/>
    <w:rsid w:val="00DA465A"/>
    <w:rsid w:val="00DA5ADD"/>
    <w:rsid w:val="00DA6917"/>
    <w:rsid w:val="00DA6926"/>
    <w:rsid w:val="00DB2FC7"/>
    <w:rsid w:val="00DB3B17"/>
    <w:rsid w:val="00DB46C3"/>
    <w:rsid w:val="00DB5742"/>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95E"/>
    <w:rsid w:val="00DF4BC7"/>
    <w:rsid w:val="00DF5FBF"/>
    <w:rsid w:val="00DF6099"/>
    <w:rsid w:val="00DF62E9"/>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61A6"/>
    <w:rsid w:val="00E262DA"/>
    <w:rsid w:val="00E33571"/>
    <w:rsid w:val="00E33777"/>
    <w:rsid w:val="00E3380B"/>
    <w:rsid w:val="00E33848"/>
    <w:rsid w:val="00E3444E"/>
    <w:rsid w:val="00E350ED"/>
    <w:rsid w:val="00E359F2"/>
    <w:rsid w:val="00E41F32"/>
    <w:rsid w:val="00E426EB"/>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FA0"/>
    <w:rsid w:val="00F42B28"/>
    <w:rsid w:val="00F42D12"/>
    <w:rsid w:val="00F43C58"/>
    <w:rsid w:val="00F43F4C"/>
    <w:rsid w:val="00F442D8"/>
    <w:rsid w:val="00F44536"/>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E8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rsid w:val="00D86B9B"/>
    <w:p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paragraph" w:customStyle="1" w:styleId="Considrant">
    <w:name w:val="Considérant"/>
    <w:basedOn w:val="Normal"/>
    <w:rsid w:val="00164E29"/>
    <w:pPr>
      <w:numPr>
        <w:numId w:val="21"/>
      </w:numPr>
      <w:spacing w:before="120" w:after="120"/>
      <w:jc w:val="both"/>
    </w:pPr>
    <w:rPr>
      <w:rFonts w:ascii="Times New Roman" w:hAnsi="Times New Roman"/>
      <w:noProof/>
      <w:sz w:val="24"/>
      <w:lang w:eastAsia="en-US"/>
    </w:rPr>
  </w:style>
  <w:style w:type="paragraph" w:customStyle="1" w:styleId="Datedadoption">
    <w:name w:val="Date d'adoption"/>
    <w:basedOn w:val="Normal"/>
    <w:next w:val="Normal"/>
    <w:rsid w:val="00164E29"/>
    <w:pPr>
      <w:spacing w:before="360"/>
      <w:jc w:val="center"/>
    </w:pPr>
    <w:rPr>
      <w:rFonts w:ascii="Times New Roman" w:hAnsi="Times New Roman"/>
      <w:b/>
      <w:noProof/>
      <w:sz w:val="24"/>
      <w:lang w:eastAsia="en-US"/>
    </w:rPr>
  </w:style>
  <w:style w:type="paragraph" w:styleId="Subtitle">
    <w:name w:val="Subtitle"/>
    <w:basedOn w:val="Normal"/>
    <w:next w:val="Normal"/>
    <w:link w:val="SubtitleChar"/>
    <w:uiPriority w:val="11"/>
    <w:qFormat/>
    <w:locked/>
    <w:rsid w:val="00055A6D"/>
    <w:pPr>
      <w:numPr>
        <w:ilvl w:val="1"/>
      </w:numPr>
      <w:spacing w:after="250" w:line="276" w:lineRule="auto"/>
      <w:contextualSpacing/>
      <w:jc w:val="both"/>
    </w:pPr>
    <w:rPr>
      <w:rFonts w:asciiTheme="majorHAnsi" w:eastAsiaTheme="majorEastAsia" w:hAnsiTheme="majorHAnsi" w:cstheme="majorBidi"/>
      <w:b/>
      <w:sz w:val="24"/>
      <w:lang w:eastAsia="en-US"/>
    </w:rPr>
  </w:style>
  <w:style w:type="character" w:customStyle="1" w:styleId="SubtitleChar">
    <w:name w:val="Subtitle Char"/>
    <w:basedOn w:val="DefaultParagraphFont"/>
    <w:link w:val="Subtitle"/>
    <w:uiPriority w:val="11"/>
    <w:rsid w:val="00055A6D"/>
    <w:rPr>
      <w:rFonts w:asciiTheme="majorHAnsi" w:eastAsiaTheme="majorEastAsia" w:hAnsiTheme="majorHAnsi" w:cstheme="majorBidi"/>
      <w:b/>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rsid w:val="00D86B9B"/>
    <w:p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paragraph" w:customStyle="1" w:styleId="Considrant">
    <w:name w:val="Considérant"/>
    <w:basedOn w:val="Normal"/>
    <w:rsid w:val="00164E29"/>
    <w:pPr>
      <w:numPr>
        <w:numId w:val="21"/>
      </w:numPr>
      <w:spacing w:before="120" w:after="120"/>
      <w:jc w:val="both"/>
    </w:pPr>
    <w:rPr>
      <w:rFonts w:ascii="Times New Roman" w:hAnsi="Times New Roman"/>
      <w:noProof/>
      <w:sz w:val="24"/>
      <w:lang w:eastAsia="en-US"/>
    </w:rPr>
  </w:style>
  <w:style w:type="paragraph" w:customStyle="1" w:styleId="Datedadoption">
    <w:name w:val="Date d'adoption"/>
    <w:basedOn w:val="Normal"/>
    <w:next w:val="Normal"/>
    <w:rsid w:val="00164E29"/>
    <w:pPr>
      <w:spacing w:before="360"/>
      <w:jc w:val="center"/>
    </w:pPr>
    <w:rPr>
      <w:rFonts w:ascii="Times New Roman" w:hAnsi="Times New Roman"/>
      <w:b/>
      <w:noProof/>
      <w:sz w:val="24"/>
      <w:lang w:eastAsia="en-US"/>
    </w:rPr>
  </w:style>
  <w:style w:type="paragraph" w:styleId="Subtitle">
    <w:name w:val="Subtitle"/>
    <w:basedOn w:val="Normal"/>
    <w:next w:val="Normal"/>
    <w:link w:val="SubtitleChar"/>
    <w:uiPriority w:val="11"/>
    <w:qFormat/>
    <w:locked/>
    <w:rsid w:val="00055A6D"/>
    <w:pPr>
      <w:numPr>
        <w:ilvl w:val="1"/>
      </w:numPr>
      <w:spacing w:after="250" w:line="276" w:lineRule="auto"/>
      <w:contextualSpacing/>
      <w:jc w:val="both"/>
    </w:pPr>
    <w:rPr>
      <w:rFonts w:asciiTheme="majorHAnsi" w:eastAsiaTheme="majorEastAsia" w:hAnsiTheme="majorHAnsi" w:cstheme="majorBidi"/>
      <w:b/>
      <w:sz w:val="24"/>
      <w:lang w:eastAsia="en-US"/>
    </w:rPr>
  </w:style>
  <w:style w:type="character" w:customStyle="1" w:styleId="SubtitleChar">
    <w:name w:val="Subtitle Char"/>
    <w:basedOn w:val="DefaultParagraphFont"/>
    <w:link w:val="Subtitle"/>
    <w:uiPriority w:val="11"/>
    <w:rsid w:val="00055A6D"/>
    <w:rPr>
      <w:rFonts w:asciiTheme="majorHAnsi" w:eastAsiaTheme="majorEastAsia" w:hAnsiTheme="majorHAnsi" w:cstheme="majorBid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13DEA-C58A-4ACC-AC8F-3549921C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E0002C20</Template>
  <TotalTime>1</TotalTime>
  <Pages>2</Pages>
  <Words>290</Words>
  <Characters>1654</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csutcliffe</cp:lastModifiedBy>
  <cp:revision>2</cp:revision>
  <cp:lastPrinted>2015-08-20T09:20:00Z</cp:lastPrinted>
  <dcterms:created xsi:type="dcterms:W3CDTF">2015-10-22T12:58:00Z</dcterms:created>
  <dcterms:modified xsi:type="dcterms:W3CDTF">2015-10-22T12:58:00Z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ies>
</file>